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0"/>
        <w:ind w:left="100" w:right="0" w:firstLine="0"/>
        <w:jc w:val="left"/>
        <w:rPr>
          <w:rFonts w:ascii="Tahoma" w:hAnsi="Tahoma"/>
          <w:sz w:val="72"/>
        </w:rPr>
      </w:pPr>
      <w:r>
        <w:rPr>
          <w:rFonts w:ascii="Tahoma" w:hAnsi="Tahoma"/>
          <w:color w:val="1C629F"/>
          <w:sz w:val="72"/>
        </w:rPr>
        <w:t>Governor’s Indian Health Council</w:t>
      </w:r>
    </w:p>
    <w:p>
      <w:pPr>
        <w:spacing w:before="301"/>
        <w:ind w:left="193" w:right="0" w:firstLine="0"/>
        <w:jc w:val="left"/>
        <w:rPr>
          <w:rFonts w:ascii="Tahoma"/>
          <w:b/>
          <w:sz w:val="32"/>
        </w:rPr>
      </w:pPr>
      <w:r>
        <w:rPr>
          <w:rFonts w:ascii="Tahoma"/>
          <w:b/>
          <w:color w:val="CF9F52"/>
          <w:sz w:val="32"/>
        </w:rPr>
        <w:t>Improving Indian Health Care in Washington State</w:t>
      </w:r>
    </w:p>
    <w:p>
      <w:pPr>
        <w:pStyle w:val="Heading4"/>
      </w:pPr>
      <w:r>
        <w:rPr>
          <w:color w:val="252525"/>
        </w:rPr>
        <w:t>December 21, 2018</w:t>
      </w:r>
    </w:p>
    <w:p>
      <w:pPr>
        <w:pStyle w:val="Heading4"/>
        <w:spacing w:before="199"/>
      </w:pPr>
      <w:r>
        <w:rPr>
          <w:color w:val="252525"/>
        </w:rPr>
        <w:t>Engrossed Substitute Senate Bill 6032, Section 213; Chapter 299, Laws of 2018</w:t>
      </w:r>
    </w:p>
    <w:p>
      <w:pPr>
        <w:spacing w:after="0"/>
        <w:sectPr>
          <w:type w:val="continuous"/>
          <w:pgSz w:w="12240" w:h="15840"/>
          <w:pgMar w:top="1500" w:bottom="280" w:left="620" w:right="740"/>
        </w:sect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6"/>
        </w:rPr>
      </w:pPr>
    </w:p>
    <w:p>
      <w:pPr>
        <w:spacing w:before="100"/>
        <w:ind w:left="100" w:right="0" w:firstLine="0"/>
        <w:jc w:val="left"/>
        <w:rPr>
          <w:rFonts w:ascii="Tahoma" w:hAnsi="Tahoma"/>
          <w:sz w:val="72"/>
        </w:rPr>
      </w:pPr>
      <w:r>
        <w:rPr>
          <w:rFonts w:ascii="Tahoma" w:hAnsi="Tahoma"/>
          <w:color w:val="1C629F"/>
          <w:sz w:val="72"/>
        </w:rPr>
        <w:t>Governor’s Indian Health Council</w:t>
      </w:r>
    </w:p>
    <w:p>
      <w:pPr>
        <w:spacing w:before="302"/>
        <w:ind w:left="193" w:right="0" w:firstLine="0"/>
        <w:jc w:val="left"/>
        <w:rPr>
          <w:rFonts w:ascii="Tahoma"/>
          <w:b/>
          <w:sz w:val="32"/>
        </w:rPr>
      </w:pPr>
      <w:r>
        <w:rPr>
          <w:rFonts w:ascii="Tahoma"/>
          <w:b/>
          <w:color w:val="CF9F52"/>
          <w:sz w:val="32"/>
        </w:rPr>
        <w:t>Improving Indian Health Care in Washington State</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rPr>
          <w:rFonts w:ascii="Tahoma"/>
          <w:b/>
          <w:sz w:val="12"/>
        </w:rPr>
      </w:pPr>
    </w:p>
    <w:tbl>
      <w:tblPr>
        <w:tblW w:w="0" w:type="auto"/>
        <w:jc w:val="left"/>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7"/>
        <w:gridCol w:w="6303"/>
      </w:tblGrid>
      <w:tr>
        <w:trPr>
          <w:trHeight w:val="2105" w:hRule="atLeast"/>
        </w:trPr>
        <w:tc>
          <w:tcPr>
            <w:tcW w:w="9420" w:type="dxa"/>
            <w:gridSpan w:val="2"/>
          </w:tcPr>
          <w:p>
            <w:pPr>
              <w:pStyle w:val="TableParagraph"/>
              <w:spacing w:line="385" w:lineRule="exact"/>
              <w:ind w:left="200"/>
              <w:rPr>
                <w:rFonts w:ascii="Tahoma"/>
                <w:b/>
                <w:sz w:val="32"/>
              </w:rPr>
            </w:pPr>
            <w:r>
              <w:rPr>
                <w:rFonts w:ascii="Tahoma"/>
                <w:b/>
                <w:color w:val="CF9F52"/>
                <w:sz w:val="32"/>
              </w:rPr>
              <w:t>Acknowledgements</w:t>
            </w:r>
          </w:p>
          <w:p>
            <w:pPr>
              <w:pStyle w:val="TableParagraph"/>
              <w:spacing w:before="255"/>
              <w:ind w:left="200" w:right="187"/>
              <w:rPr>
                <w:sz w:val="22"/>
              </w:rPr>
            </w:pPr>
            <w:r>
              <w:rPr>
                <w:color w:val="252525"/>
                <w:sz w:val="22"/>
              </w:rPr>
              <w:t>This report was written by the Health Care Authority, in collaboration with the American Indian Health Commission for Washington State, on behalf of the Governor’s Indian Health Council. The council reviewed and approved the recommendations contained in this report on December 20, 2018. We thank the members of the council for their time and contributions in the development of this report.</w:t>
            </w:r>
          </w:p>
        </w:tc>
      </w:tr>
      <w:tr>
        <w:trPr>
          <w:trHeight w:val="1484" w:hRule="atLeast"/>
        </w:trPr>
        <w:tc>
          <w:tcPr>
            <w:tcW w:w="3117" w:type="dxa"/>
          </w:tcPr>
          <w:p>
            <w:pPr>
              <w:pStyle w:val="TableParagraph"/>
              <w:rPr>
                <w:rFonts w:ascii="Tahoma"/>
                <w:b/>
                <w:sz w:val="20"/>
              </w:rPr>
            </w:pPr>
          </w:p>
          <w:p>
            <w:pPr>
              <w:pStyle w:val="TableParagraph"/>
              <w:rPr>
                <w:rFonts w:ascii="Tahoma"/>
                <w:b/>
                <w:sz w:val="20"/>
              </w:rPr>
            </w:pPr>
          </w:p>
          <w:p>
            <w:pPr>
              <w:pStyle w:val="TableParagraph"/>
              <w:spacing w:before="5" w:after="1"/>
              <w:rPr>
                <w:rFonts w:ascii="Tahoma"/>
                <w:b/>
                <w:sz w:val="21"/>
              </w:rPr>
            </w:pPr>
          </w:p>
          <w:p>
            <w:pPr>
              <w:pStyle w:val="TableParagraph"/>
              <w:ind w:left="200"/>
              <w:rPr>
                <w:rFonts w:ascii="Tahoma"/>
                <w:sz w:val="20"/>
              </w:rPr>
            </w:pPr>
            <w:r>
              <w:rPr>
                <w:rFonts w:ascii="Tahoma"/>
                <w:sz w:val="20"/>
              </w:rPr>
              <w:drawing>
                <wp:inline distT="0" distB="0" distL="0" distR="0">
                  <wp:extent cx="1738020" cy="2891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38020" cy="289179"/>
                          </a:xfrm>
                          <a:prstGeom prst="rect">
                            <a:avLst/>
                          </a:prstGeom>
                        </pic:spPr>
                      </pic:pic>
                    </a:graphicData>
                  </a:graphic>
                </wp:inline>
              </w:drawing>
            </w:r>
            <w:r>
              <w:rPr>
                <w:rFonts w:ascii="Tahoma"/>
                <w:sz w:val="20"/>
              </w:rPr>
            </w:r>
          </w:p>
        </w:tc>
        <w:tc>
          <w:tcPr>
            <w:tcW w:w="6303" w:type="dxa"/>
          </w:tcPr>
          <w:p>
            <w:pPr>
              <w:pStyle w:val="TableParagraph"/>
              <w:spacing w:before="5"/>
              <w:rPr>
                <w:rFonts w:ascii="Tahoma"/>
                <w:b/>
                <w:sz w:val="14"/>
              </w:rPr>
            </w:pPr>
          </w:p>
          <w:p>
            <w:pPr>
              <w:pStyle w:val="TableParagraph"/>
              <w:ind w:left="235"/>
              <w:rPr>
                <w:rFonts w:ascii="Tahoma"/>
                <w:sz w:val="20"/>
              </w:rPr>
            </w:pPr>
            <w:r>
              <w:rPr>
                <w:rFonts w:ascii="Tahoma"/>
                <w:sz w:val="20"/>
              </w:rPr>
              <w:drawing>
                <wp:inline distT="0" distB="0" distL="0" distR="0">
                  <wp:extent cx="1670126" cy="64303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70126" cy="643032"/>
                          </a:xfrm>
                          <a:prstGeom prst="rect">
                            <a:avLst/>
                          </a:prstGeom>
                        </pic:spPr>
                      </pic:pic>
                    </a:graphicData>
                  </a:graphic>
                </wp:inline>
              </w:drawing>
            </w:r>
            <w:r>
              <w:rPr>
                <w:rFonts w:ascii="Tahoma"/>
                <w:sz w:val="20"/>
              </w:rPr>
            </w:r>
          </w:p>
        </w:tc>
      </w:tr>
      <w:tr>
        <w:trPr>
          <w:trHeight w:val="1407" w:hRule="atLeast"/>
        </w:trPr>
        <w:tc>
          <w:tcPr>
            <w:tcW w:w="3117" w:type="dxa"/>
          </w:tcPr>
          <w:p>
            <w:pPr>
              <w:pStyle w:val="TableParagraph"/>
              <w:spacing w:before="11"/>
              <w:rPr>
                <w:rFonts w:ascii="Tahoma"/>
                <w:b/>
                <w:sz w:val="23"/>
              </w:rPr>
            </w:pPr>
          </w:p>
          <w:p>
            <w:pPr>
              <w:pStyle w:val="TableParagraph"/>
              <w:spacing w:before="1"/>
              <w:ind w:left="200"/>
              <w:rPr>
                <w:sz w:val="20"/>
              </w:rPr>
            </w:pPr>
            <w:r>
              <w:rPr>
                <w:color w:val="252525"/>
                <w:sz w:val="20"/>
              </w:rPr>
              <w:t>P.O. Box 45502</w:t>
            </w:r>
          </w:p>
          <w:p>
            <w:pPr>
              <w:pStyle w:val="TableParagraph"/>
              <w:spacing w:before="60"/>
              <w:ind w:left="200"/>
              <w:rPr>
                <w:sz w:val="20"/>
              </w:rPr>
            </w:pPr>
            <w:r>
              <w:rPr>
                <w:color w:val="252525"/>
                <w:sz w:val="20"/>
              </w:rPr>
              <w:t>Olympia, Washington 98504</w:t>
            </w:r>
          </w:p>
          <w:p>
            <w:pPr>
              <w:pStyle w:val="TableParagraph"/>
              <w:spacing w:before="61"/>
              <w:ind w:left="200"/>
              <w:rPr>
                <w:sz w:val="20"/>
              </w:rPr>
            </w:pPr>
            <w:r>
              <w:rPr>
                <w:color w:val="252525"/>
                <w:sz w:val="20"/>
              </w:rPr>
              <w:t>Phone: (360) 725-1649</w:t>
            </w:r>
          </w:p>
          <w:p>
            <w:pPr>
              <w:pStyle w:val="TableParagraph"/>
              <w:spacing w:line="214" w:lineRule="exact" w:before="58"/>
              <w:ind w:left="200"/>
              <w:rPr>
                <w:sz w:val="20"/>
              </w:rPr>
            </w:pPr>
            <w:hyperlink r:id="rId7">
              <w:r>
                <w:rPr>
                  <w:color w:val="252525"/>
                  <w:sz w:val="20"/>
                </w:rPr>
                <w:t>www.hca.wa.gov</w:t>
              </w:r>
            </w:hyperlink>
          </w:p>
        </w:tc>
        <w:tc>
          <w:tcPr>
            <w:tcW w:w="6303" w:type="dxa"/>
          </w:tcPr>
          <w:p>
            <w:pPr>
              <w:pStyle w:val="TableParagraph"/>
              <w:spacing w:before="11"/>
              <w:rPr>
                <w:rFonts w:ascii="Tahoma"/>
                <w:b/>
                <w:sz w:val="23"/>
              </w:rPr>
            </w:pPr>
          </w:p>
          <w:p>
            <w:pPr>
              <w:pStyle w:val="TableParagraph"/>
              <w:spacing w:line="302" w:lineRule="auto" w:before="1"/>
              <w:ind w:left="203" w:right="3728"/>
              <w:rPr>
                <w:sz w:val="20"/>
              </w:rPr>
            </w:pPr>
            <w:r>
              <w:rPr>
                <w:color w:val="252525"/>
                <w:sz w:val="20"/>
              </w:rPr>
              <w:t>808 North 5</w:t>
            </w:r>
            <w:r>
              <w:rPr>
                <w:color w:val="252525"/>
                <w:position w:val="5"/>
                <w:sz w:val="13"/>
              </w:rPr>
              <w:t>th </w:t>
            </w:r>
            <w:r>
              <w:rPr>
                <w:color w:val="252525"/>
                <w:sz w:val="20"/>
              </w:rPr>
              <w:t>Avenue Sequim, Washington 98382</w:t>
            </w:r>
          </w:p>
          <w:p>
            <w:pPr>
              <w:pStyle w:val="TableParagraph"/>
              <w:spacing w:line="234" w:lineRule="exact"/>
              <w:ind w:left="203"/>
              <w:rPr>
                <w:sz w:val="20"/>
              </w:rPr>
            </w:pPr>
            <w:r>
              <w:rPr>
                <w:color w:val="252525"/>
                <w:sz w:val="20"/>
              </w:rPr>
              <w:t>Phone: (360) 477-4522</w:t>
            </w:r>
          </w:p>
          <w:p>
            <w:pPr>
              <w:pStyle w:val="TableParagraph"/>
              <w:spacing w:line="214" w:lineRule="exact" w:before="58"/>
              <w:ind w:left="203"/>
              <w:rPr>
                <w:sz w:val="20"/>
              </w:rPr>
            </w:pPr>
            <w:hyperlink r:id="rId8">
              <w:r>
                <w:rPr>
                  <w:color w:val="252525"/>
                  <w:sz w:val="20"/>
                </w:rPr>
                <w:t>www.aihc-wa.com</w:t>
              </w:r>
            </w:hyperlink>
          </w:p>
        </w:tc>
      </w:tr>
    </w:tbl>
    <w:p>
      <w:pPr>
        <w:spacing w:after="0" w:line="214" w:lineRule="exact"/>
        <w:rPr>
          <w:sz w:val="20"/>
        </w:rPr>
        <w:sectPr>
          <w:pgSz w:w="12240" w:h="15840"/>
          <w:pgMar w:top="1500" w:bottom="280" w:left="620" w:right="740"/>
        </w:sectPr>
      </w:pPr>
    </w:p>
    <w:p>
      <w:pPr>
        <w:pStyle w:val="Heading1"/>
        <w:spacing w:before="81"/>
      </w:pPr>
      <w:bookmarkStart w:name="_bookmark0" w:id="1"/>
      <w:bookmarkEnd w:id="1"/>
      <w:r>
        <w:rPr/>
      </w:r>
      <w:r>
        <w:rPr>
          <w:color w:val="1C629F"/>
        </w:rPr>
        <w:t>Table of Contents</w:t>
      </w:r>
    </w:p>
    <w:sdt>
      <w:sdtPr>
        <w:docPartObj>
          <w:docPartGallery w:val="Table of Contents"/>
          <w:docPartUnique/>
        </w:docPartObj>
      </w:sdtPr>
      <w:sdtEndPr/>
      <w:sdtContent>
        <w:p>
          <w:pPr>
            <w:pStyle w:val="TOC1"/>
            <w:tabs>
              <w:tab w:pos="10172" w:val="right" w:leader="dot"/>
            </w:tabs>
            <w:spacing w:before="240"/>
          </w:pPr>
          <w:r>
            <w:fldChar w:fldCharType="begin"/>
          </w:r>
          <w:r>
            <w:instrText>TOC \o "1-2" \h \z \u </w:instrText>
          </w:r>
          <w:r>
            <w:fldChar w:fldCharType="separate"/>
          </w:r>
          <w:hyperlink w:history="true" w:anchor="_bookmark0">
            <w:r>
              <w:rPr/>
              <w:t>Table</w:t>
            </w:r>
            <w:r>
              <w:rPr>
                <w:spacing w:val="-2"/>
              </w:rPr>
              <w:t> </w:t>
            </w:r>
            <w:r>
              <w:rPr/>
              <w:t>of Contents</w:t>
              <w:tab/>
              <w:t>1</w:t>
            </w:r>
          </w:hyperlink>
        </w:p>
        <w:p>
          <w:pPr>
            <w:pStyle w:val="TOC1"/>
            <w:tabs>
              <w:tab w:pos="10172" w:val="right" w:leader="dot"/>
            </w:tabs>
          </w:pPr>
          <w:hyperlink w:history="true" w:anchor="_bookmark1">
            <w:r>
              <w:rPr/>
              <w:t>Executive</w:t>
            </w:r>
            <w:r>
              <w:rPr>
                <w:spacing w:val="-1"/>
              </w:rPr>
              <w:t> </w:t>
            </w:r>
            <w:r>
              <w:rPr/>
              <w:t>Summary</w:t>
              <w:tab/>
              <w:t>2</w:t>
            </w:r>
          </w:hyperlink>
        </w:p>
        <w:p>
          <w:pPr>
            <w:pStyle w:val="TOC1"/>
            <w:tabs>
              <w:tab w:pos="10172" w:val="right" w:leader="dot"/>
            </w:tabs>
          </w:pPr>
          <w:hyperlink w:history="true" w:anchor="_bookmark2">
            <w:r>
              <w:rPr/>
              <w:t>Background</w:t>
              <w:tab/>
              <w:t>3</w:t>
            </w:r>
          </w:hyperlink>
        </w:p>
        <w:p>
          <w:pPr>
            <w:pStyle w:val="TOC2"/>
            <w:tabs>
              <w:tab w:pos="10172" w:val="right" w:leader="dot"/>
            </w:tabs>
          </w:pPr>
          <w:hyperlink w:history="true" w:anchor="_bookmark3">
            <w:r>
              <w:rPr/>
              <w:t>Health</w:t>
            </w:r>
            <w:r>
              <w:rPr>
                <w:spacing w:val="-1"/>
              </w:rPr>
              <w:t> </w:t>
            </w:r>
            <w:r>
              <w:rPr/>
              <w:t>Disparities</w:t>
              <w:tab/>
              <w:t>3</w:t>
            </w:r>
          </w:hyperlink>
        </w:p>
        <w:p>
          <w:pPr>
            <w:pStyle w:val="TOC2"/>
            <w:tabs>
              <w:tab w:pos="10172" w:val="right" w:leader="dot"/>
            </w:tabs>
            <w:spacing w:before="140"/>
          </w:pPr>
          <w:hyperlink w:history="true" w:anchor="_bookmark4">
            <w:r>
              <w:rPr/>
              <w:t>Adverse Childhood Experiences and</w:t>
            </w:r>
            <w:r>
              <w:rPr>
                <w:spacing w:val="-1"/>
              </w:rPr>
              <w:t> </w:t>
            </w:r>
            <w:r>
              <w:rPr/>
              <w:t>Historical</w:t>
            </w:r>
            <w:r>
              <w:rPr>
                <w:spacing w:val="-2"/>
              </w:rPr>
              <w:t> </w:t>
            </w:r>
            <w:r>
              <w:rPr/>
              <w:t>Trauma</w:t>
              <w:tab/>
              <w:t>5</w:t>
            </w:r>
          </w:hyperlink>
        </w:p>
        <w:p>
          <w:pPr>
            <w:pStyle w:val="TOC2"/>
            <w:tabs>
              <w:tab w:pos="10172" w:val="right" w:leader="dot"/>
            </w:tabs>
            <w:spacing w:before="139"/>
          </w:pPr>
          <w:hyperlink w:history="true" w:anchor="_bookmark5">
            <w:r>
              <w:rPr/>
              <w:t>Limitations of</w:t>
            </w:r>
            <w:r>
              <w:rPr>
                <w:spacing w:val="-1"/>
              </w:rPr>
              <w:t> </w:t>
            </w:r>
            <w:r>
              <w:rPr/>
              <w:t>Evidence-Based Practices</w:t>
              <w:tab/>
              <w:t>6</w:t>
            </w:r>
          </w:hyperlink>
        </w:p>
        <w:p>
          <w:pPr>
            <w:pStyle w:val="TOC2"/>
            <w:tabs>
              <w:tab w:pos="10172" w:val="right" w:leader="dot"/>
            </w:tabs>
          </w:pPr>
          <w:hyperlink w:history="true" w:anchor="_bookmark6">
            <w:r>
              <w:rPr/>
              <w:t>Examples of Proven</w:t>
            </w:r>
            <w:r>
              <w:rPr>
                <w:spacing w:val="-1"/>
              </w:rPr>
              <w:t> </w:t>
            </w:r>
            <w:r>
              <w:rPr/>
              <w:t>Practices</w:t>
              <w:tab/>
              <w:t>7</w:t>
            </w:r>
          </w:hyperlink>
        </w:p>
        <w:p>
          <w:pPr>
            <w:pStyle w:val="TOC2"/>
            <w:tabs>
              <w:tab w:pos="10172" w:val="right" w:leader="dot"/>
            </w:tabs>
          </w:pPr>
          <w:hyperlink w:history="true" w:anchor="_bookmark7">
            <w:r>
              <w:rPr/>
              <w:t>Barriers</w:t>
              <w:tab/>
              <w:t>9</w:t>
            </w:r>
          </w:hyperlink>
        </w:p>
        <w:p>
          <w:pPr>
            <w:pStyle w:val="TOC2"/>
            <w:tabs>
              <w:tab w:pos="10172" w:val="right" w:leader="dot"/>
            </w:tabs>
            <w:spacing w:before="141"/>
          </w:pPr>
          <w:hyperlink w:history="true" w:anchor="_bookmark8">
            <w:r>
              <w:rPr/>
              <w:t>Federal Funding Deficiencies for Indian</w:t>
            </w:r>
            <w:r>
              <w:rPr>
                <w:spacing w:val="-5"/>
              </w:rPr>
              <w:t> </w:t>
            </w:r>
            <w:r>
              <w:rPr/>
              <w:t>Health</w:t>
            </w:r>
            <w:r>
              <w:rPr>
                <w:spacing w:val="-3"/>
              </w:rPr>
              <w:t> </w:t>
            </w:r>
            <w:r>
              <w:rPr/>
              <w:t>Care</w:t>
              <w:tab/>
              <w:t>9</w:t>
            </w:r>
          </w:hyperlink>
        </w:p>
        <w:p>
          <w:pPr>
            <w:pStyle w:val="TOC2"/>
            <w:tabs>
              <w:tab w:pos="10172" w:val="right" w:leader="dot"/>
            </w:tabs>
          </w:pPr>
          <w:hyperlink w:history="true" w:anchor="_bookmark9">
            <w:r>
              <w:rPr/>
              <w:t>New CMS Policy for Additional Medicaid</w:t>
            </w:r>
            <w:r>
              <w:rPr>
                <w:spacing w:val="-6"/>
              </w:rPr>
              <w:t> </w:t>
            </w:r>
            <w:r>
              <w:rPr/>
              <w:t>Federal Match</w:t>
              <w:tab/>
              <w:t>12</w:t>
            </w:r>
          </w:hyperlink>
        </w:p>
        <w:p>
          <w:pPr>
            <w:pStyle w:val="TOC2"/>
            <w:tabs>
              <w:tab w:pos="10172" w:val="right" w:leader="dot"/>
            </w:tabs>
          </w:pPr>
          <w:hyperlink w:history="true" w:anchor="_bookmark10">
            <w:r>
              <w:rPr/>
              <w:t>Estimates for Potential Savings to State</w:t>
            </w:r>
            <w:r>
              <w:rPr>
                <w:spacing w:val="-1"/>
              </w:rPr>
              <w:t> </w:t>
            </w:r>
            <w:r>
              <w:rPr/>
              <w:t>General</w:t>
            </w:r>
            <w:r>
              <w:rPr>
                <w:spacing w:val="-1"/>
              </w:rPr>
              <w:t> </w:t>
            </w:r>
            <w:r>
              <w:rPr/>
              <w:t>Fund</w:t>
              <w:tab/>
              <w:t>13</w:t>
            </w:r>
          </w:hyperlink>
        </w:p>
        <w:p>
          <w:pPr>
            <w:pStyle w:val="TOC1"/>
            <w:tabs>
              <w:tab w:pos="10172" w:val="right" w:leader="dot"/>
            </w:tabs>
          </w:pPr>
          <w:hyperlink w:history="true" w:anchor="_bookmark11">
            <w:r>
              <w:rPr/>
              <w:t>Recommendations</w:t>
              <w:tab/>
              <w:t>16</w:t>
            </w:r>
          </w:hyperlink>
        </w:p>
        <w:p>
          <w:pPr>
            <w:pStyle w:val="TOC1"/>
            <w:tabs>
              <w:tab w:pos="10172" w:val="right" w:leader="dot"/>
            </w:tabs>
            <w:spacing w:before="141"/>
          </w:pPr>
          <w:hyperlink w:history="true" w:anchor="_bookmark12">
            <w:r>
              <w:rPr/>
              <w:t>Appendix A:</w:t>
            </w:r>
            <w:r>
              <w:rPr>
                <w:spacing w:val="-5"/>
              </w:rPr>
              <w:t> </w:t>
            </w:r>
            <w:r>
              <w:rPr/>
              <w:t>Fiscal</w:t>
            </w:r>
            <w:r>
              <w:rPr>
                <w:spacing w:val="-1"/>
              </w:rPr>
              <w:t> </w:t>
            </w:r>
            <w:r>
              <w:rPr/>
              <w:t>Estimates</w:t>
              <w:tab/>
              <w:t>18</w:t>
            </w:r>
          </w:hyperlink>
        </w:p>
        <w:p>
          <w:pPr>
            <w:pStyle w:val="TOC1"/>
            <w:tabs>
              <w:tab w:pos="10172" w:val="right" w:leader="dot"/>
            </w:tabs>
          </w:pPr>
          <w:hyperlink w:history="true" w:anchor="_bookmark13">
            <w:r>
              <w:rPr/>
              <w:t>Appendix B:</w:t>
            </w:r>
            <w:r>
              <w:rPr>
                <w:spacing w:val="-4"/>
              </w:rPr>
              <w:t> </w:t>
            </w:r>
            <w:r>
              <w:rPr/>
              <w:t>Proposed</w:t>
            </w:r>
            <w:r>
              <w:rPr>
                <w:spacing w:val="-1"/>
              </w:rPr>
              <w:t> </w:t>
            </w:r>
            <w:r>
              <w:rPr/>
              <w:t>Legislation</w:t>
              <w:tab/>
              <w:t>22</w:t>
            </w:r>
          </w:hyperlink>
        </w:p>
        <w:p>
          <w:pPr/>
          <w:r>
            <w:fldChar w:fldCharType="end"/>
          </w:r>
        </w:p>
      </w:sdtContent>
    </w:sdt>
    <w:p>
      <w:pPr>
        <w:spacing w:after="0"/>
        <w:sectPr>
          <w:footerReference w:type="default" r:id="rId9"/>
          <w:pgSz w:w="12240" w:h="15840"/>
          <w:pgMar w:footer="1355" w:header="0" w:top="1440" w:bottom="1540" w:left="620" w:right="740"/>
          <w:pgNumType w:start="1"/>
        </w:sectPr>
      </w:pPr>
    </w:p>
    <w:p>
      <w:pPr>
        <w:pStyle w:val="Heading1"/>
      </w:pPr>
      <w:bookmarkStart w:name="_bookmark1" w:id="2"/>
      <w:bookmarkEnd w:id="2"/>
      <w:r>
        <w:rPr/>
      </w:r>
      <w:r>
        <w:rPr>
          <w:color w:val="1C629F"/>
        </w:rPr>
        <w:t>Executive Summary</w:t>
      </w:r>
    </w:p>
    <w:p>
      <w:pPr>
        <w:pStyle w:val="BodyText"/>
        <w:spacing w:line="276" w:lineRule="auto" w:before="243"/>
        <w:ind w:left="820" w:right="885"/>
      </w:pPr>
      <w:r>
        <w:rPr/>
        <w:t>In 2018, the Washington State Legislature passed Engrossed Substitute Senate Bill (ESSB) 6032, which included proviso language to establish the Governor’s Indian Health Council. The council includes tribal leaders, urban Indian health leaders, representatives of the Governor’s office, state agency leaders, and legislators to address issues in Washington State’s Indian health care delivery system. The council convened on July 16, November 7 and 8, and December 11 and 20, and approved this report to the Governor and the Legislature during the December 20 meeting. As specified in the proviso, this report provides the following recommendations for the state:</w:t>
      </w:r>
    </w:p>
    <w:p>
      <w:pPr>
        <w:pStyle w:val="ListParagraph"/>
        <w:numPr>
          <w:ilvl w:val="0"/>
          <w:numId w:val="1"/>
        </w:numPr>
        <w:tabs>
          <w:tab w:pos="1541" w:val="left" w:leader="none"/>
        </w:tabs>
        <w:spacing w:line="240" w:lineRule="auto" w:before="201" w:after="0"/>
        <w:ind w:left="1540" w:right="0" w:hanging="360"/>
        <w:jc w:val="left"/>
        <w:rPr>
          <w:rFonts w:ascii="Cambria" w:hAnsi="Cambria"/>
          <w:sz w:val="22"/>
        </w:rPr>
      </w:pPr>
      <w:r>
        <w:rPr>
          <w:rFonts w:ascii="Cambria" w:hAnsi="Cambria"/>
          <w:sz w:val="22"/>
        </w:rPr>
        <w:t>Establish the Governor’s Indian Health Advisory Council</w:t>
      </w:r>
      <w:r>
        <w:rPr>
          <w:rFonts w:ascii="Cambria" w:hAnsi="Cambria"/>
          <w:spacing w:val="-7"/>
          <w:sz w:val="22"/>
        </w:rPr>
        <w:t> </w:t>
      </w:r>
      <w:r>
        <w:rPr>
          <w:rFonts w:ascii="Cambria" w:hAnsi="Cambria"/>
          <w:sz w:val="22"/>
        </w:rPr>
        <w:t>to:</w:t>
      </w:r>
    </w:p>
    <w:p>
      <w:pPr>
        <w:pStyle w:val="ListParagraph"/>
        <w:numPr>
          <w:ilvl w:val="1"/>
          <w:numId w:val="1"/>
        </w:numPr>
        <w:tabs>
          <w:tab w:pos="2260" w:val="left" w:leader="none"/>
          <w:tab w:pos="2261" w:val="left" w:leader="none"/>
        </w:tabs>
        <w:spacing w:line="240" w:lineRule="auto" w:before="37" w:after="0"/>
        <w:ind w:left="2260" w:right="0" w:hanging="360"/>
        <w:jc w:val="left"/>
        <w:rPr>
          <w:rFonts w:ascii="Cambria" w:hAnsi="Cambria"/>
          <w:sz w:val="22"/>
        </w:rPr>
      </w:pPr>
      <w:r>
        <w:rPr>
          <w:rFonts w:ascii="Cambria" w:hAnsi="Cambria"/>
          <w:sz w:val="22"/>
        </w:rPr>
        <w:t>Adopt a biennial Indian Health Improvement Advisory</w:t>
      </w:r>
      <w:r>
        <w:rPr>
          <w:rFonts w:ascii="Cambria" w:hAnsi="Cambria"/>
          <w:spacing w:val="-11"/>
          <w:sz w:val="22"/>
        </w:rPr>
        <w:t> </w:t>
      </w:r>
      <w:r>
        <w:rPr>
          <w:rFonts w:ascii="Cambria" w:hAnsi="Cambria"/>
          <w:sz w:val="22"/>
        </w:rPr>
        <w:t>Plan;</w:t>
      </w:r>
    </w:p>
    <w:p>
      <w:pPr>
        <w:pStyle w:val="ListParagraph"/>
        <w:numPr>
          <w:ilvl w:val="1"/>
          <w:numId w:val="1"/>
        </w:numPr>
        <w:tabs>
          <w:tab w:pos="2260" w:val="left" w:leader="none"/>
          <w:tab w:pos="2261" w:val="left" w:leader="none"/>
        </w:tabs>
        <w:spacing w:line="273" w:lineRule="auto" w:before="40" w:after="0"/>
        <w:ind w:left="2260" w:right="732" w:hanging="360"/>
        <w:jc w:val="left"/>
        <w:rPr>
          <w:rFonts w:ascii="Cambria" w:hAnsi="Cambria"/>
          <w:sz w:val="22"/>
        </w:rPr>
      </w:pPr>
      <w:r>
        <w:rPr>
          <w:rFonts w:ascii="Cambria" w:hAnsi="Cambria"/>
          <w:sz w:val="22"/>
        </w:rPr>
        <w:t>Address issues with tribal implications that are not able to be resolved at the agency level;</w:t>
      </w:r>
      <w:r>
        <w:rPr>
          <w:rFonts w:ascii="Cambria" w:hAnsi="Cambria"/>
          <w:spacing w:val="-2"/>
          <w:sz w:val="22"/>
        </w:rPr>
        <w:t> </w:t>
      </w:r>
      <w:r>
        <w:rPr>
          <w:rFonts w:ascii="Cambria" w:hAnsi="Cambria"/>
          <w:sz w:val="22"/>
        </w:rPr>
        <w:t>and</w:t>
      </w:r>
    </w:p>
    <w:p>
      <w:pPr>
        <w:pStyle w:val="ListParagraph"/>
        <w:numPr>
          <w:ilvl w:val="1"/>
          <w:numId w:val="1"/>
        </w:numPr>
        <w:tabs>
          <w:tab w:pos="2260" w:val="left" w:leader="none"/>
          <w:tab w:pos="2261" w:val="left" w:leader="none"/>
        </w:tabs>
        <w:spacing w:line="240" w:lineRule="auto" w:before="5" w:after="0"/>
        <w:ind w:left="2260" w:right="0" w:hanging="360"/>
        <w:jc w:val="left"/>
        <w:rPr>
          <w:rFonts w:ascii="Cambria" w:hAnsi="Cambria"/>
          <w:sz w:val="22"/>
        </w:rPr>
      </w:pPr>
      <w:r>
        <w:rPr>
          <w:rFonts w:ascii="Cambria" w:hAnsi="Cambria"/>
          <w:sz w:val="22"/>
        </w:rPr>
        <w:t>Provide oversight of the Indian Health Improvement Reinvestment</w:t>
      </w:r>
      <w:r>
        <w:rPr>
          <w:rFonts w:ascii="Cambria" w:hAnsi="Cambria"/>
          <w:spacing w:val="-10"/>
          <w:sz w:val="22"/>
        </w:rPr>
        <w:t> </w:t>
      </w:r>
      <w:r>
        <w:rPr>
          <w:rFonts w:ascii="Cambria" w:hAnsi="Cambria"/>
          <w:sz w:val="22"/>
        </w:rPr>
        <w:t>Account.</w:t>
      </w:r>
    </w:p>
    <w:p>
      <w:pPr>
        <w:pStyle w:val="ListParagraph"/>
        <w:numPr>
          <w:ilvl w:val="0"/>
          <w:numId w:val="1"/>
        </w:numPr>
        <w:tabs>
          <w:tab w:pos="1541" w:val="left" w:leader="none"/>
        </w:tabs>
        <w:spacing w:line="276" w:lineRule="auto" w:before="40" w:after="0"/>
        <w:ind w:left="1540" w:right="1017" w:hanging="360"/>
        <w:jc w:val="left"/>
        <w:rPr>
          <w:rFonts w:ascii="Cambria"/>
          <w:sz w:val="22"/>
        </w:rPr>
      </w:pPr>
      <w:r>
        <w:rPr>
          <w:rFonts w:ascii="Cambria"/>
          <w:sz w:val="22"/>
        </w:rPr>
        <w:t>Establish an Indian Health Improvement Reinvestment Account into which the new state savings due to the new 100 percent Federal Medical Assistance Percentage (FMAP), less agreed upon administrative costs to maintain fiscal neutrality, will be appropriated and deposited (subject to federal</w:t>
      </w:r>
      <w:r>
        <w:rPr>
          <w:rFonts w:ascii="Cambria"/>
          <w:spacing w:val="-3"/>
          <w:sz w:val="22"/>
        </w:rPr>
        <w:t> </w:t>
      </w:r>
      <w:r>
        <w:rPr>
          <w:rFonts w:ascii="Cambria"/>
          <w:sz w:val="22"/>
        </w:rPr>
        <w:t>appropriations).</w:t>
      </w:r>
    </w:p>
    <w:p>
      <w:pPr>
        <w:pStyle w:val="ListParagraph"/>
        <w:numPr>
          <w:ilvl w:val="0"/>
          <w:numId w:val="1"/>
        </w:numPr>
        <w:tabs>
          <w:tab w:pos="1541" w:val="left" w:leader="none"/>
        </w:tabs>
        <w:spacing w:line="276" w:lineRule="auto" w:before="0" w:after="0"/>
        <w:ind w:left="1540" w:right="956" w:hanging="360"/>
        <w:jc w:val="left"/>
        <w:rPr>
          <w:rFonts w:ascii="Cambria" w:hAnsi="Cambria"/>
          <w:sz w:val="22"/>
        </w:rPr>
      </w:pPr>
      <w:r>
        <w:rPr>
          <w:rFonts w:ascii="Cambria" w:hAnsi="Cambria"/>
          <w:sz w:val="22"/>
        </w:rPr>
        <w:t>Appropriate sufficient funding for five full-time equivalent (FTE) Health Care Authority (HCA) staff (approximately $500,000 in salaries and benefits, as included in HCA decision package #37 and the Governor’s 2019–2021 proposed budget) to partner with the Indian Health Service (IHS) and tribal governments to meet federal requirements that allow the state to receive the 100 percent FMAP on services currently provided to American Indians/Alaska Natives (AI/AN) Medicaid enrollees at standard FMAP</w:t>
      </w:r>
      <w:r>
        <w:rPr>
          <w:rFonts w:ascii="Cambria" w:hAnsi="Cambria"/>
          <w:spacing w:val="-10"/>
          <w:sz w:val="22"/>
        </w:rPr>
        <w:t> </w:t>
      </w:r>
      <w:r>
        <w:rPr>
          <w:rFonts w:ascii="Cambria" w:hAnsi="Cambria"/>
          <w:sz w:val="22"/>
        </w:rPr>
        <w:t>rates.</w:t>
      </w:r>
    </w:p>
    <w:p>
      <w:pPr>
        <w:pStyle w:val="ListParagraph"/>
        <w:numPr>
          <w:ilvl w:val="0"/>
          <w:numId w:val="1"/>
        </w:numPr>
        <w:tabs>
          <w:tab w:pos="1541" w:val="left" w:leader="none"/>
        </w:tabs>
        <w:spacing w:line="276" w:lineRule="auto" w:before="1" w:after="0"/>
        <w:ind w:left="1540" w:right="839" w:hanging="360"/>
        <w:jc w:val="left"/>
        <w:rPr>
          <w:rFonts w:ascii="Cambria" w:hAnsi="Cambria"/>
          <w:sz w:val="22"/>
        </w:rPr>
      </w:pPr>
      <w:r>
        <w:rPr>
          <w:rFonts w:ascii="Cambria" w:hAnsi="Cambria"/>
          <w:sz w:val="22"/>
        </w:rPr>
        <w:t>Partner with tribes to cover the expenses for meetings and related costs for the Governor’s Indian Health Advisory Council to complete the first Indian Health Improvement Advisory Plan by November 1, 2019, which will include all of the analyses described in section 213(mmm) of ESSB</w:t>
      </w:r>
      <w:r>
        <w:rPr>
          <w:rFonts w:ascii="Cambria" w:hAnsi="Cambria"/>
          <w:spacing w:val="-4"/>
          <w:sz w:val="22"/>
        </w:rPr>
        <w:t> </w:t>
      </w:r>
      <w:r>
        <w:rPr>
          <w:rFonts w:ascii="Cambria" w:hAnsi="Cambria"/>
          <w:sz w:val="22"/>
        </w:rPr>
        <w:t>6032.</w:t>
      </w:r>
    </w:p>
    <w:p>
      <w:pPr>
        <w:pStyle w:val="BodyText"/>
        <w:spacing w:line="276" w:lineRule="auto" w:before="198"/>
        <w:ind w:left="820" w:right="724"/>
      </w:pPr>
      <w:r>
        <w:rPr/>
        <w:t>Fiscal budget estimates and draft legislation to support the recommendations are in the appendices to this report.</w:t>
      </w:r>
    </w:p>
    <w:p>
      <w:pPr>
        <w:spacing w:after="0" w:line="276" w:lineRule="auto"/>
        <w:sectPr>
          <w:pgSz w:w="12240" w:h="15840"/>
          <w:pgMar w:header="0" w:footer="1355" w:top="1360" w:bottom="1540" w:left="620" w:right="740"/>
        </w:sectPr>
      </w:pPr>
    </w:p>
    <w:p>
      <w:pPr>
        <w:pStyle w:val="Heading1"/>
      </w:pPr>
      <w:bookmarkStart w:name="_bookmark2" w:id="3"/>
      <w:bookmarkEnd w:id="3"/>
      <w:r>
        <w:rPr/>
      </w:r>
      <w:r>
        <w:rPr>
          <w:color w:val="1C629F"/>
        </w:rPr>
        <w:t>Background</w:t>
      </w:r>
    </w:p>
    <w:p>
      <w:pPr>
        <w:pStyle w:val="Heading2"/>
        <w:spacing w:before="242"/>
      </w:pPr>
      <w:bookmarkStart w:name="_bookmark3" w:id="4"/>
      <w:bookmarkEnd w:id="4"/>
      <w:r>
        <w:rPr>
          <w:b w:val="0"/>
        </w:rPr>
      </w:r>
      <w:r>
        <w:rPr>
          <w:color w:val="CF9F52"/>
        </w:rPr>
        <w:t>Health Disparities</w:t>
      </w:r>
    </w:p>
    <w:p>
      <w:pPr>
        <w:pStyle w:val="BodyText"/>
        <w:spacing w:line="276" w:lineRule="auto" w:before="195"/>
        <w:ind w:left="820" w:right="786"/>
      </w:pPr>
      <w:r>
        <w:rPr/>
        <w:pict>
          <v:group style="position:absolute;margin-left:215.755005pt;margin-top:100.007133pt;width:323.55pt;height:288.5pt;mso-position-horizontal-relative:page;mso-position-vertical-relative:paragraph;z-index:-41632" coordorigin="4315,2000" coordsize="6471,5770">
            <v:rect style="position:absolute;left:4406;top:7173;width:326;height:181" filled="true" fillcolor="#ffd966" stroked="false">
              <v:fill type="solid"/>
            </v:rect>
            <v:rect style="position:absolute;left:4406;top:7354;width:326;height:183" filled="true" fillcolor="#7e7e7e" stroked="false">
              <v:fill type="solid"/>
            </v:rect>
            <v:shape style="position:absolute;left:4317;top:2002;width:6466;height:5765" type="#_x0000_t202" filled="false" stroked="true" strokeweight=".25pt" strokecolor="#252525">
              <v:textbox inset="0,0,0,0">
                <w:txbxContent>
                  <w:p>
                    <w:pPr>
                      <w:spacing w:line="240" w:lineRule="auto" w:before="9"/>
                      <w:rPr>
                        <w:sz w:val="17"/>
                      </w:rPr>
                    </w:pPr>
                  </w:p>
                  <w:p>
                    <w:pPr>
                      <w:spacing w:line="244" w:lineRule="auto" w:before="1"/>
                      <w:ind w:left="1483" w:right="1474" w:firstLine="0"/>
                      <w:jc w:val="center"/>
                      <w:rPr>
                        <w:rFonts w:ascii="Century Gothic"/>
                        <w:b/>
                        <w:sz w:val="18"/>
                      </w:rPr>
                    </w:pPr>
                    <w:r>
                      <w:rPr>
                        <w:rFonts w:ascii="Century Gothic"/>
                        <w:b/>
                        <w:sz w:val="18"/>
                      </w:rPr>
                      <w:t>Chart 1: Top 5 Premature Mortality Rates Washington State</w:t>
                    </w:r>
                  </w:p>
                  <w:p>
                    <w:pPr>
                      <w:spacing w:before="0"/>
                      <w:ind w:left="1483" w:right="1473" w:firstLine="0"/>
                      <w:jc w:val="center"/>
                      <w:rPr>
                        <w:rFonts w:ascii="Century Gothic"/>
                        <w:b/>
                        <w:sz w:val="18"/>
                      </w:rPr>
                    </w:pPr>
                    <w:r>
                      <w:rPr>
                        <w:rFonts w:ascii="Century Gothic"/>
                        <w:b/>
                        <w:sz w:val="18"/>
                      </w:rPr>
                      <w:t>NWTEC, 2006-2010</w:t>
                    </w:r>
                  </w:p>
                  <w:p>
                    <w:pPr>
                      <w:spacing w:line="240" w:lineRule="auto" w:before="6" w:after="1"/>
                      <w:rPr>
                        <w:sz w:val="14"/>
                      </w:rPr>
                    </w:pPr>
                  </w:p>
                  <w:p>
                    <w:pPr>
                      <w:spacing w:line="240" w:lineRule="auto"/>
                      <w:ind w:left="245" w:right="0" w:firstLine="0"/>
                      <w:rPr>
                        <w:sz w:val="20"/>
                      </w:rPr>
                    </w:pPr>
                    <w:r>
                      <w:rPr>
                        <w:sz w:val="20"/>
                      </w:rPr>
                      <w:drawing>
                        <wp:inline distT="0" distB="0" distL="0" distR="0">
                          <wp:extent cx="3876358" cy="2246947"/>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876358" cy="2246947"/>
                                  </a:xfrm>
                                  <a:prstGeom prst="rect">
                                    <a:avLst/>
                                  </a:prstGeom>
                                </pic:spPr>
                              </pic:pic>
                            </a:graphicData>
                          </a:graphic>
                        </wp:inline>
                      </w:drawing>
                    </w:r>
                    <w:r>
                      <w:rPr>
                        <w:sz w:val="20"/>
                      </w:rPr>
                    </w:r>
                  </w:p>
                  <w:p>
                    <w:pPr>
                      <w:spacing w:before="96"/>
                      <w:ind w:left="1483" w:right="1474" w:firstLine="0"/>
                      <w:jc w:val="center"/>
                      <w:rPr>
                        <w:rFonts w:ascii="Century Gothic"/>
                        <w:b/>
                        <w:sz w:val="16"/>
                      </w:rPr>
                    </w:pPr>
                    <w:r>
                      <w:rPr>
                        <w:rFonts w:ascii="Century Gothic"/>
                        <w:b/>
                        <w:w w:val="105"/>
                        <w:sz w:val="16"/>
                      </w:rPr>
                      <w:t>Age-Adjusted Rate per 100,000</w:t>
                    </w:r>
                  </w:p>
                  <w:p>
                    <w:pPr>
                      <w:spacing w:before="117"/>
                      <w:ind w:left="63" w:right="3237" w:firstLine="0"/>
                      <w:jc w:val="center"/>
                      <w:rPr>
                        <w:rFonts w:ascii="Century Gothic" w:hAnsi="Century Gothic"/>
                        <w:sz w:val="14"/>
                      </w:rPr>
                    </w:pPr>
                    <w:r>
                      <w:rPr>
                        <w:rFonts w:ascii="Century Gothic" w:hAnsi="Century Gothic"/>
                        <w:w w:val="105"/>
                        <w:sz w:val="14"/>
                      </w:rPr>
                      <w:t>† CLRD = Chronic Lower Respiratory Disease</w:t>
                    </w:r>
                  </w:p>
                  <w:p>
                    <w:pPr>
                      <w:spacing w:before="8"/>
                      <w:ind w:left="453" w:right="0" w:firstLine="0"/>
                      <w:jc w:val="left"/>
                      <w:rPr>
                        <w:rFonts w:ascii="Century Gothic"/>
                        <w:sz w:val="14"/>
                      </w:rPr>
                    </w:pPr>
                    <w:r>
                      <w:rPr>
                        <w:rFonts w:ascii="Century Gothic"/>
                        <w:w w:val="105"/>
                        <w:sz w:val="14"/>
                      </w:rPr>
                      <w:t>= American Indian/Alaska Native</w:t>
                    </w:r>
                  </w:p>
                  <w:p>
                    <w:pPr>
                      <w:spacing w:before="9"/>
                      <w:ind w:left="453" w:right="0" w:firstLine="0"/>
                      <w:jc w:val="left"/>
                      <w:rPr>
                        <w:rFonts w:ascii="Century Gothic"/>
                        <w:sz w:val="14"/>
                      </w:rPr>
                    </w:pPr>
                    <w:r>
                      <w:rPr>
                        <w:rFonts w:ascii="Century Gothic"/>
                        <w:w w:val="105"/>
                        <w:sz w:val="14"/>
                      </w:rPr>
                      <w:t>= Non-Hispanic White</w:t>
                    </w:r>
                  </w:p>
                </w:txbxContent>
              </v:textbox>
              <v:stroke dashstyle="solid"/>
              <w10:wrap type="none"/>
            </v:shape>
            <w10:wrap type="none"/>
          </v:group>
        </w:pict>
      </w:r>
      <w:r>
        <w:rPr/>
        <w:t>American Indians/Alaska Natives (AI/ANs) in Washington State suffer some of the greatest health disparities of any racial/ethnic group.</w:t>
      </w:r>
      <w:r>
        <w:rPr>
          <w:position w:val="5"/>
          <w:sz w:val="14"/>
        </w:rPr>
        <w:t>1 </w:t>
      </w:r>
      <w:r>
        <w:rPr/>
        <w:t>Using state and tribal data, the Northwest Tribal Epidemiology Center (NWTEC) determined that the overall premature mortality rate for AI/AN for 2006 through 2010 was 71 percent higher than for non-Hispanic whites.</w:t>
      </w:r>
      <w:r>
        <w:rPr>
          <w:position w:val="5"/>
          <w:sz w:val="14"/>
        </w:rPr>
        <w:t>2 </w:t>
      </w:r>
      <w:r>
        <w:rPr/>
        <w:t>NWTEC also prepared Chart 1 with the top five premature mortality rates for AI/AN and non-Hispanic whites.</w:t>
      </w:r>
      <w:r>
        <w:rPr>
          <w:position w:val="5"/>
          <w:sz w:val="14"/>
        </w:rPr>
        <w:t>2 </w:t>
      </w:r>
      <w:r>
        <w:rPr/>
        <w:t>As shown in Chart 1, AI/ANs have significantly higher rates of premature death due to heart disease (67 percent higher), cancer (18</w:t>
      </w:r>
    </w:p>
    <w:p>
      <w:pPr>
        <w:pStyle w:val="BodyText"/>
        <w:spacing w:line="276" w:lineRule="auto"/>
        <w:ind w:left="820" w:right="7635"/>
      </w:pPr>
      <w:r>
        <w:rPr/>
        <w:t>percent higher), unintentional injury (126 percent higher), chronic lower respiratory disease (41 percent higher), and diabetes (186 percent higher).</w:t>
      </w:r>
    </w:p>
    <w:p>
      <w:pPr>
        <w:pStyle w:val="BodyText"/>
        <w:spacing w:line="276" w:lineRule="auto" w:before="199"/>
        <w:ind w:left="820" w:right="7396"/>
      </w:pPr>
      <w:r>
        <w:rPr/>
        <w:t>Due to the complex analysis required to prepare these more complete data, the most recent NWTEC report is based on 2014 data. More recent state-only premature mortality data, as published in the 2018 Washington State Health Assessment, reflect similarly significant premature mortality rates</w:t>
      </w:r>
    </w:p>
    <w:p>
      <w:pPr>
        <w:pStyle w:val="BodyText"/>
        <w:spacing w:before="1"/>
        <w:rPr>
          <w:sz w:val="16"/>
        </w:rPr>
      </w:pPr>
      <w:r>
        <w:rPr/>
        <w:pict>
          <v:line style="position:absolute;mso-position-horizontal-relative:page;mso-position-vertical-relative:paragraph;z-index:-1024;mso-wrap-distance-left:0;mso-wrap-distance-right:0" from="72.024002pt,11.712905pt" to="216.044002pt,11.712905pt" stroked="true" strokeweight=".60004pt" strokecolor="#000000">
            <v:stroke dashstyle="solid"/>
            <w10:wrap type="topAndBottom"/>
          </v:line>
        </w:pict>
      </w:r>
    </w:p>
    <w:p>
      <w:pPr>
        <w:spacing w:before="64"/>
        <w:ind w:left="820" w:right="0" w:firstLine="0"/>
        <w:jc w:val="left"/>
        <w:rPr>
          <w:sz w:val="20"/>
        </w:rPr>
      </w:pPr>
      <w:r>
        <w:rPr>
          <w:position w:val="5"/>
          <w:sz w:val="13"/>
        </w:rPr>
        <w:t>1 </w:t>
      </w:r>
      <w:r>
        <w:rPr>
          <w:sz w:val="20"/>
        </w:rPr>
        <w:t>Notes on Data:</w:t>
      </w:r>
    </w:p>
    <w:p>
      <w:pPr>
        <w:pStyle w:val="ListParagraph"/>
        <w:numPr>
          <w:ilvl w:val="0"/>
          <w:numId w:val="2"/>
        </w:numPr>
        <w:tabs>
          <w:tab w:pos="1541" w:val="left" w:leader="none"/>
        </w:tabs>
        <w:spacing w:line="240" w:lineRule="auto" w:before="1" w:after="0"/>
        <w:ind w:left="1540" w:right="753" w:hanging="360"/>
        <w:jc w:val="left"/>
        <w:rPr>
          <w:rFonts w:ascii="Cambria"/>
          <w:sz w:val="20"/>
        </w:rPr>
      </w:pPr>
      <w:r>
        <w:rPr>
          <w:rFonts w:ascii="Cambria"/>
          <w:sz w:val="20"/>
        </w:rPr>
        <w:t>There</w:t>
      </w:r>
      <w:r>
        <w:rPr>
          <w:rFonts w:ascii="Cambria"/>
          <w:spacing w:val="-2"/>
          <w:sz w:val="20"/>
        </w:rPr>
        <w:t> </w:t>
      </w:r>
      <w:r>
        <w:rPr>
          <w:rFonts w:ascii="Cambria"/>
          <w:sz w:val="20"/>
        </w:rPr>
        <w:t>is</w:t>
      </w:r>
      <w:r>
        <w:rPr>
          <w:rFonts w:ascii="Cambria"/>
          <w:spacing w:val="-3"/>
          <w:sz w:val="20"/>
        </w:rPr>
        <w:t> </w:t>
      </w:r>
      <w:r>
        <w:rPr>
          <w:rFonts w:ascii="Cambria"/>
          <w:sz w:val="20"/>
        </w:rPr>
        <w:t>no</w:t>
      </w:r>
      <w:r>
        <w:rPr>
          <w:rFonts w:ascii="Cambria"/>
          <w:spacing w:val="-3"/>
          <w:sz w:val="20"/>
        </w:rPr>
        <w:t> </w:t>
      </w:r>
      <w:r>
        <w:rPr>
          <w:rFonts w:ascii="Cambria"/>
          <w:sz w:val="20"/>
        </w:rPr>
        <w:t>single</w:t>
      </w:r>
      <w:r>
        <w:rPr>
          <w:rFonts w:ascii="Cambria"/>
          <w:spacing w:val="-4"/>
          <w:sz w:val="20"/>
        </w:rPr>
        <w:t> </w:t>
      </w:r>
      <w:r>
        <w:rPr>
          <w:rFonts w:ascii="Cambria"/>
          <w:sz w:val="20"/>
        </w:rPr>
        <w:t>source</w:t>
      </w:r>
      <w:r>
        <w:rPr>
          <w:rFonts w:ascii="Cambria"/>
          <w:spacing w:val="-2"/>
          <w:sz w:val="20"/>
        </w:rPr>
        <w:t> </w:t>
      </w:r>
      <w:r>
        <w:rPr>
          <w:rFonts w:ascii="Cambria"/>
          <w:sz w:val="20"/>
        </w:rPr>
        <w:t>of</w:t>
      </w:r>
      <w:r>
        <w:rPr>
          <w:rFonts w:ascii="Cambria"/>
          <w:spacing w:val="-2"/>
          <w:sz w:val="20"/>
        </w:rPr>
        <w:t> </w:t>
      </w:r>
      <w:r>
        <w:rPr>
          <w:rFonts w:ascii="Cambria"/>
          <w:sz w:val="20"/>
        </w:rPr>
        <w:t>h</w:t>
      </w:r>
      <w:r>
        <w:rPr>
          <w:rFonts w:ascii="Cambria"/>
          <w:color w:val="252525"/>
          <w:sz w:val="20"/>
        </w:rPr>
        <w:t>ealth</w:t>
      </w:r>
      <w:r>
        <w:rPr>
          <w:rFonts w:ascii="Cambria"/>
          <w:color w:val="252525"/>
          <w:spacing w:val="-2"/>
          <w:sz w:val="20"/>
        </w:rPr>
        <w:t> </w:t>
      </w:r>
      <w:r>
        <w:rPr>
          <w:rFonts w:ascii="Cambria"/>
          <w:color w:val="252525"/>
          <w:sz w:val="20"/>
        </w:rPr>
        <w:t>data</w:t>
      </w:r>
      <w:r>
        <w:rPr>
          <w:rFonts w:ascii="Cambria"/>
          <w:color w:val="252525"/>
          <w:spacing w:val="-3"/>
          <w:sz w:val="20"/>
        </w:rPr>
        <w:t> </w:t>
      </w:r>
      <w:r>
        <w:rPr>
          <w:rFonts w:ascii="Cambria"/>
          <w:color w:val="252525"/>
          <w:sz w:val="20"/>
        </w:rPr>
        <w:t>on</w:t>
      </w:r>
      <w:r>
        <w:rPr>
          <w:rFonts w:ascii="Cambria"/>
          <w:color w:val="252525"/>
          <w:spacing w:val="-2"/>
          <w:sz w:val="20"/>
        </w:rPr>
        <w:t> </w:t>
      </w:r>
      <w:r>
        <w:rPr>
          <w:rFonts w:ascii="Cambria"/>
          <w:color w:val="252525"/>
          <w:sz w:val="20"/>
        </w:rPr>
        <w:t>AI/ANs.</w:t>
      </w:r>
      <w:r>
        <w:rPr>
          <w:rFonts w:ascii="Cambria"/>
          <w:color w:val="252525"/>
          <w:spacing w:val="-3"/>
          <w:sz w:val="20"/>
        </w:rPr>
        <w:t> </w:t>
      </w:r>
      <w:r>
        <w:rPr>
          <w:rFonts w:ascii="Cambria"/>
          <w:color w:val="252525"/>
          <w:sz w:val="20"/>
        </w:rPr>
        <w:t>Each</w:t>
      </w:r>
      <w:r>
        <w:rPr>
          <w:rFonts w:ascii="Cambria"/>
          <w:color w:val="252525"/>
          <w:spacing w:val="-3"/>
          <w:sz w:val="20"/>
        </w:rPr>
        <w:t> </w:t>
      </w:r>
      <w:r>
        <w:rPr>
          <w:rFonts w:ascii="Cambria"/>
          <w:color w:val="252525"/>
          <w:sz w:val="20"/>
        </w:rPr>
        <w:t>tribe</w:t>
      </w:r>
      <w:r>
        <w:rPr>
          <w:rFonts w:ascii="Cambria"/>
          <w:color w:val="252525"/>
          <w:spacing w:val="-4"/>
          <w:sz w:val="20"/>
        </w:rPr>
        <w:t> </w:t>
      </w:r>
      <w:r>
        <w:rPr>
          <w:rFonts w:ascii="Cambria"/>
          <w:color w:val="252525"/>
          <w:sz w:val="20"/>
        </w:rPr>
        <w:t>has</w:t>
      </w:r>
      <w:r>
        <w:rPr>
          <w:rFonts w:ascii="Cambria"/>
          <w:color w:val="252525"/>
          <w:spacing w:val="-2"/>
          <w:sz w:val="20"/>
        </w:rPr>
        <w:t> </w:t>
      </w:r>
      <w:r>
        <w:rPr>
          <w:rFonts w:ascii="Cambria"/>
          <w:color w:val="252525"/>
          <w:sz w:val="20"/>
        </w:rPr>
        <w:t>its</w:t>
      </w:r>
      <w:r>
        <w:rPr>
          <w:rFonts w:ascii="Cambria"/>
          <w:color w:val="252525"/>
          <w:spacing w:val="-3"/>
          <w:sz w:val="20"/>
        </w:rPr>
        <w:t> </w:t>
      </w:r>
      <w:r>
        <w:rPr>
          <w:rFonts w:ascii="Cambria"/>
          <w:color w:val="252525"/>
          <w:sz w:val="20"/>
        </w:rPr>
        <w:t>own</w:t>
      </w:r>
      <w:r>
        <w:rPr>
          <w:rFonts w:ascii="Cambria"/>
          <w:color w:val="252525"/>
          <w:spacing w:val="-3"/>
          <w:sz w:val="20"/>
        </w:rPr>
        <w:t> </w:t>
      </w:r>
      <w:r>
        <w:rPr>
          <w:rFonts w:ascii="Cambria"/>
          <w:color w:val="252525"/>
          <w:sz w:val="20"/>
        </w:rPr>
        <w:t>data,</w:t>
      </w:r>
      <w:r>
        <w:rPr>
          <w:rFonts w:ascii="Cambria"/>
          <w:color w:val="252525"/>
          <w:spacing w:val="-3"/>
          <w:sz w:val="20"/>
        </w:rPr>
        <w:t> </w:t>
      </w:r>
      <w:r>
        <w:rPr>
          <w:rFonts w:ascii="Cambria"/>
          <w:color w:val="252525"/>
          <w:sz w:val="20"/>
        </w:rPr>
        <w:t>which</w:t>
      </w:r>
      <w:r>
        <w:rPr>
          <w:rFonts w:ascii="Cambria"/>
          <w:color w:val="252525"/>
          <w:spacing w:val="-1"/>
          <w:sz w:val="20"/>
        </w:rPr>
        <w:t> </w:t>
      </w:r>
      <w:r>
        <w:rPr>
          <w:rFonts w:ascii="Cambria"/>
          <w:color w:val="252525"/>
          <w:sz w:val="20"/>
        </w:rPr>
        <w:t>are</w:t>
      </w:r>
      <w:r>
        <w:rPr>
          <w:rFonts w:ascii="Cambria"/>
          <w:color w:val="252525"/>
          <w:spacing w:val="-2"/>
          <w:sz w:val="20"/>
        </w:rPr>
        <w:t> </w:t>
      </w:r>
      <w:r>
        <w:rPr>
          <w:rFonts w:ascii="Cambria"/>
          <w:color w:val="252525"/>
          <w:sz w:val="20"/>
        </w:rPr>
        <w:t>reported</w:t>
      </w:r>
      <w:r>
        <w:rPr>
          <w:rFonts w:ascii="Cambria"/>
          <w:color w:val="252525"/>
          <w:spacing w:val="-3"/>
          <w:sz w:val="20"/>
        </w:rPr>
        <w:t> </w:t>
      </w:r>
      <w:r>
        <w:rPr>
          <w:rFonts w:ascii="Cambria"/>
          <w:color w:val="252525"/>
          <w:sz w:val="20"/>
        </w:rPr>
        <w:t>to the Indian Health Service (IHS). Separately, the Washington Department of Health maintains vital statistics data, as well as sample-based data, such as the Healthy Youth Survey (HYS) and the Behavioral Risk Factor Surveillance System (BRFSS). A complete picture requires knowledge of, and work with, these diverse data sets.</w:t>
      </w:r>
    </w:p>
    <w:p>
      <w:pPr>
        <w:pStyle w:val="ListParagraph"/>
        <w:numPr>
          <w:ilvl w:val="0"/>
          <w:numId w:val="2"/>
        </w:numPr>
        <w:tabs>
          <w:tab w:pos="1541" w:val="left" w:leader="none"/>
        </w:tabs>
        <w:spacing w:line="240" w:lineRule="auto" w:before="1" w:after="0"/>
        <w:ind w:left="1540" w:right="1042" w:hanging="360"/>
        <w:jc w:val="left"/>
        <w:rPr>
          <w:rFonts w:ascii="Cambria"/>
          <w:sz w:val="20"/>
        </w:rPr>
      </w:pPr>
      <w:r>
        <w:rPr>
          <w:rFonts w:ascii="Cambria"/>
          <w:color w:val="252525"/>
          <w:sz w:val="20"/>
        </w:rPr>
        <w:t>There</w:t>
      </w:r>
      <w:r>
        <w:rPr>
          <w:rFonts w:ascii="Cambria"/>
          <w:color w:val="252525"/>
          <w:spacing w:val="-3"/>
          <w:sz w:val="20"/>
        </w:rPr>
        <w:t> </w:t>
      </w:r>
      <w:r>
        <w:rPr>
          <w:rFonts w:ascii="Cambria"/>
          <w:color w:val="252525"/>
          <w:sz w:val="20"/>
        </w:rPr>
        <w:t>is</w:t>
      </w:r>
      <w:r>
        <w:rPr>
          <w:rFonts w:ascii="Cambria"/>
          <w:color w:val="252525"/>
          <w:spacing w:val="-3"/>
          <w:sz w:val="20"/>
        </w:rPr>
        <w:t> </w:t>
      </w:r>
      <w:r>
        <w:rPr>
          <w:rFonts w:ascii="Cambria"/>
          <w:color w:val="252525"/>
          <w:sz w:val="20"/>
        </w:rPr>
        <w:t>no</w:t>
      </w:r>
      <w:r>
        <w:rPr>
          <w:rFonts w:ascii="Cambria"/>
          <w:color w:val="252525"/>
          <w:spacing w:val="-3"/>
          <w:sz w:val="20"/>
        </w:rPr>
        <w:t> </w:t>
      </w:r>
      <w:r>
        <w:rPr>
          <w:rFonts w:ascii="Cambria"/>
          <w:color w:val="252525"/>
          <w:sz w:val="20"/>
        </w:rPr>
        <w:t>single</w:t>
      </w:r>
      <w:r>
        <w:rPr>
          <w:rFonts w:ascii="Cambria"/>
          <w:color w:val="252525"/>
          <w:spacing w:val="-2"/>
          <w:sz w:val="20"/>
        </w:rPr>
        <w:t> </w:t>
      </w:r>
      <w:r>
        <w:rPr>
          <w:rFonts w:ascii="Cambria"/>
          <w:color w:val="252525"/>
          <w:sz w:val="20"/>
        </w:rPr>
        <w:t>policy</w:t>
      </w:r>
      <w:r>
        <w:rPr>
          <w:rFonts w:ascii="Cambria"/>
          <w:color w:val="252525"/>
          <w:spacing w:val="-3"/>
          <w:sz w:val="20"/>
        </w:rPr>
        <w:t> </w:t>
      </w:r>
      <w:r>
        <w:rPr>
          <w:rFonts w:ascii="Cambria"/>
          <w:color w:val="252525"/>
          <w:sz w:val="20"/>
        </w:rPr>
        <w:t>on</w:t>
      </w:r>
      <w:r>
        <w:rPr>
          <w:rFonts w:ascii="Cambria"/>
          <w:color w:val="252525"/>
          <w:spacing w:val="-1"/>
          <w:sz w:val="20"/>
        </w:rPr>
        <w:t> </w:t>
      </w:r>
      <w:r>
        <w:rPr>
          <w:rFonts w:ascii="Cambria"/>
          <w:color w:val="252525"/>
          <w:sz w:val="20"/>
        </w:rPr>
        <w:t>how</w:t>
      </w:r>
      <w:r>
        <w:rPr>
          <w:rFonts w:ascii="Cambria"/>
          <w:color w:val="252525"/>
          <w:spacing w:val="-4"/>
          <w:sz w:val="20"/>
        </w:rPr>
        <w:t> </w:t>
      </w:r>
      <w:r>
        <w:rPr>
          <w:rFonts w:ascii="Cambria"/>
          <w:color w:val="252525"/>
          <w:sz w:val="20"/>
        </w:rPr>
        <w:t>to</w:t>
      </w:r>
      <w:r>
        <w:rPr>
          <w:rFonts w:ascii="Cambria"/>
          <w:color w:val="252525"/>
          <w:spacing w:val="-3"/>
          <w:sz w:val="20"/>
        </w:rPr>
        <w:t> </w:t>
      </w:r>
      <w:r>
        <w:rPr>
          <w:rFonts w:ascii="Cambria"/>
          <w:color w:val="252525"/>
          <w:sz w:val="20"/>
        </w:rPr>
        <w:t>identify</w:t>
      </w:r>
      <w:r>
        <w:rPr>
          <w:rFonts w:ascii="Cambria"/>
          <w:color w:val="252525"/>
          <w:spacing w:val="-3"/>
          <w:sz w:val="20"/>
        </w:rPr>
        <w:t> </w:t>
      </w:r>
      <w:r>
        <w:rPr>
          <w:rFonts w:ascii="Cambria"/>
          <w:color w:val="252525"/>
          <w:sz w:val="20"/>
        </w:rPr>
        <w:t>AI/AN</w:t>
      </w:r>
      <w:r>
        <w:rPr>
          <w:rFonts w:ascii="Cambria"/>
          <w:color w:val="252525"/>
          <w:spacing w:val="-2"/>
          <w:sz w:val="20"/>
        </w:rPr>
        <w:t> </w:t>
      </w:r>
      <w:r>
        <w:rPr>
          <w:rFonts w:ascii="Cambria"/>
          <w:color w:val="252525"/>
          <w:sz w:val="20"/>
        </w:rPr>
        <w:t>individuals.</w:t>
      </w:r>
      <w:r>
        <w:rPr>
          <w:rFonts w:ascii="Cambria"/>
          <w:color w:val="252525"/>
          <w:spacing w:val="-3"/>
          <w:sz w:val="20"/>
        </w:rPr>
        <w:t> </w:t>
      </w:r>
      <w:r>
        <w:rPr>
          <w:rFonts w:ascii="Cambria"/>
          <w:color w:val="252525"/>
          <w:sz w:val="20"/>
        </w:rPr>
        <w:t>While</w:t>
      </w:r>
      <w:r>
        <w:rPr>
          <w:rFonts w:ascii="Cambria"/>
          <w:color w:val="252525"/>
          <w:spacing w:val="-3"/>
          <w:sz w:val="20"/>
        </w:rPr>
        <w:t> </w:t>
      </w:r>
      <w:r>
        <w:rPr>
          <w:rFonts w:ascii="Cambria"/>
          <w:color w:val="252525"/>
          <w:sz w:val="20"/>
        </w:rPr>
        <w:t>tribes identify</w:t>
      </w:r>
      <w:r>
        <w:rPr>
          <w:rFonts w:ascii="Cambria"/>
          <w:color w:val="252525"/>
          <w:spacing w:val="-3"/>
          <w:sz w:val="20"/>
        </w:rPr>
        <w:t> </w:t>
      </w:r>
      <w:r>
        <w:rPr>
          <w:rFonts w:ascii="Cambria"/>
          <w:color w:val="252525"/>
          <w:sz w:val="20"/>
        </w:rPr>
        <w:t>individuals</w:t>
      </w:r>
      <w:r>
        <w:rPr>
          <w:rFonts w:ascii="Cambria"/>
          <w:color w:val="252525"/>
          <w:spacing w:val="-3"/>
          <w:sz w:val="20"/>
        </w:rPr>
        <w:t> </w:t>
      </w:r>
      <w:r>
        <w:rPr>
          <w:rFonts w:ascii="Cambria"/>
          <w:color w:val="252525"/>
          <w:sz w:val="20"/>
        </w:rPr>
        <w:t>as AI/AN</w:t>
      </w:r>
      <w:r>
        <w:rPr>
          <w:rFonts w:ascii="Cambria"/>
          <w:color w:val="252525"/>
          <w:spacing w:val="-2"/>
          <w:sz w:val="20"/>
        </w:rPr>
        <w:t> </w:t>
      </w:r>
      <w:r>
        <w:rPr>
          <w:rFonts w:ascii="Cambria"/>
          <w:color w:val="252525"/>
          <w:sz w:val="20"/>
        </w:rPr>
        <w:t>even</w:t>
      </w:r>
      <w:r>
        <w:rPr>
          <w:rFonts w:ascii="Cambria"/>
          <w:color w:val="252525"/>
          <w:spacing w:val="-3"/>
          <w:sz w:val="20"/>
        </w:rPr>
        <w:t> </w:t>
      </w:r>
      <w:r>
        <w:rPr>
          <w:rFonts w:ascii="Cambria"/>
          <w:color w:val="252525"/>
          <w:sz w:val="20"/>
        </w:rPr>
        <w:t>if</w:t>
      </w:r>
      <w:r>
        <w:rPr>
          <w:rFonts w:ascii="Cambria"/>
          <w:color w:val="252525"/>
          <w:spacing w:val="-1"/>
          <w:sz w:val="20"/>
        </w:rPr>
        <w:t> </w:t>
      </w:r>
      <w:r>
        <w:rPr>
          <w:rFonts w:ascii="Cambria"/>
          <w:color w:val="252525"/>
          <w:sz w:val="20"/>
        </w:rPr>
        <w:t>they</w:t>
      </w:r>
      <w:r>
        <w:rPr>
          <w:rFonts w:ascii="Cambria"/>
          <w:color w:val="252525"/>
          <w:spacing w:val="-2"/>
          <w:sz w:val="20"/>
        </w:rPr>
        <w:t> </w:t>
      </w:r>
      <w:r>
        <w:rPr>
          <w:rFonts w:ascii="Cambria"/>
          <w:color w:val="252525"/>
          <w:sz w:val="20"/>
        </w:rPr>
        <w:t>self-identify</w:t>
      </w:r>
      <w:r>
        <w:rPr>
          <w:rFonts w:ascii="Cambria"/>
          <w:color w:val="252525"/>
          <w:spacing w:val="-2"/>
          <w:sz w:val="20"/>
        </w:rPr>
        <w:t> </w:t>
      </w:r>
      <w:r>
        <w:rPr>
          <w:rFonts w:ascii="Cambria"/>
          <w:color w:val="252525"/>
          <w:sz w:val="20"/>
        </w:rPr>
        <w:t>as</w:t>
      </w:r>
      <w:r>
        <w:rPr>
          <w:rFonts w:ascii="Cambria"/>
          <w:color w:val="252525"/>
          <w:spacing w:val="-2"/>
          <w:sz w:val="20"/>
        </w:rPr>
        <w:t> </w:t>
      </w:r>
      <w:r>
        <w:rPr>
          <w:rFonts w:ascii="Cambria"/>
          <w:color w:val="252525"/>
          <w:sz w:val="20"/>
        </w:rPr>
        <w:t>two</w:t>
      </w:r>
      <w:r>
        <w:rPr>
          <w:rFonts w:ascii="Cambria"/>
          <w:color w:val="252525"/>
          <w:spacing w:val="-3"/>
          <w:sz w:val="20"/>
        </w:rPr>
        <w:t> </w:t>
      </w:r>
      <w:r>
        <w:rPr>
          <w:rFonts w:ascii="Cambria"/>
          <w:color w:val="252525"/>
          <w:sz w:val="20"/>
        </w:rPr>
        <w:t>or</w:t>
      </w:r>
      <w:r>
        <w:rPr>
          <w:rFonts w:ascii="Cambria"/>
          <w:color w:val="252525"/>
          <w:spacing w:val="-3"/>
          <w:sz w:val="20"/>
        </w:rPr>
        <w:t> </w:t>
      </w:r>
      <w:r>
        <w:rPr>
          <w:rFonts w:ascii="Cambria"/>
          <w:color w:val="252525"/>
          <w:sz w:val="20"/>
        </w:rPr>
        <w:t>more</w:t>
      </w:r>
      <w:r>
        <w:rPr>
          <w:rFonts w:ascii="Cambria"/>
          <w:color w:val="252525"/>
          <w:spacing w:val="-3"/>
          <w:sz w:val="20"/>
        </w:rPr>
        <w:t> </w:t>
      </w:r>
      <w:r>
        <w:rPr>
          <w:rFonts w:ascii="Cambria"/>
          <w:color w:val="252525"/>
          <w:sz w:val="20"/>
        </w:rPr>
        <w:t>races,</w:t>
      </w:r>
      <w:r>
        <w:rPr>
          <w:rFonts w:ascii="Cambria"/>
          <w:color w:val="252525"/>
          <w:spacing w:val="-2"/>
          <w:sz w:val="20"/>
        </w:rPr>
        <w:t> </w:t>
      </w:r>
      <w:r>
        <w:rPr>
          <w:rFonts w:ascii="Cambria"/>
          <w:color w:val="252525"/>
          <w:sz w:val="20"/>
        </w:rPr>
        <w:t>the</w:t>
      </w:r>
      <w:r>
        <w:rPr>
          <w:rFonts w:ascii="Cambria"/>
          <w:color w:val="252525"/>
          <w:spacing w:val="-1"/>
          <w:sz w:val="20"/>
        </w:rPr>
        <w:t> </w:t>
      </w:r>
      <w:r>
        <w:rPr>
          <w:rFonts w:ascii="Cambria"/>
          <w:color w:val="252525"/>
          <w:sz w:val="20"/>
        </w:rPr>
        <w:t>state</w:t>
      </w:r>
      <w:r>
        <w:rPr>
          <w:rFonts w:ascii="Cambria"/>
          <w:color w:val="252525"/>
          <w:spacing w:val="-4"/>
          <w:sz w:val="20"/>
        </w:rPr>
        <w:t> </w:t>
      </w:r>
      <w:r>
        <w:rPr>
          <w:rFonts w:ascii="Cambria"/>
          <w:color w:val="252525"/>
          <w:sz w:val="20"/>
        </w:rPr>
        <w:t>categorizes</w:t>
      </w:r>
      <w:r>
        <w:rPr>
          <w:rFonts w:ascii="Cambria"/>
          <w:color w:val="252525"/>
          <w:spacing w:val="-2"/>
          <w:sz w:val="20"/>
        </w:rPr>
        <w:t> </w:t>
      </w:r>
      <w:r>
        <w:rPr>
          <w:rFonts w:ascii="Cambria"/>
          <w:color w:val="252525"/>
          <w:sz w:val="20"/>
        </w:rPr>
        <w:t>individuals who</w:t>
      </w:r>
      <w:r>
        <w:rPr>
          <w:rFonts w:ascii="Cambria"/>
          <w:color w:val="252525"/>
          <w:spacing w:val="-3"/>
          <w:sz w:val="20"/>
        </w:rPr>
        <w:t> </w:t>
      </w:r>
      <w:r>
        <w:rPr>
          <w:rFonts w:ascii="Cambria"/>
          <w:color w:val="252525"/>
          <w:sz w:val="20"/>
        </w:rPr>
        <w:t>self-</w:t>
      </w:r>
    </w:p>
    <w:p>
      <w:pPr>
        <w:spacing w:before="0"/>
        <w:ind w:left="1540" w:right="885" w:firstLine="0"/>
        <w:jc w:val="left"/>
        <w:rPr>
          <w:sz w:val="20"/>
        </w:rPr>
      </w:pPr>
      <w:r>
        <w:rPr>
          <w:color w:val="252525"/>
          <w:sz w:val="20"/>
        </w:rPr>
        <w:t>identify as two or more races into a separate “Two or More Races” category, leaving in the AI/AN category only those individuals who self-identify as AI/AN only. As a result, the state’s data on the AI/AN population reflects less than half of the state’s total AI/AN population.</w:t>
      </w:r>
    </w:p>
    <w:p>
      <w:pPr>
        <w:spacing w:before="0"/>
        <w:ind w:left="820" w:right="1083" w:firstLine="0"/>
        <w:jc w:val="left"/>
        <w:rPr>
          <w:sz w:val="20"/>
        </w:rPr>
      </w:pPr>
      <w:r>
        <w:rPr>
          <w:position w:val="5"/>
          <w:sz w:val="13"/>
        </w:rPr>
        <w:t>2 </w:t>
      </w:r>
      <w:r>
        <w:rPr>
          <w:sz w:val="20"/>
        </w:rPr>
        <w:t>Northwest Tribal Epidemiology Center (NWTEC). (2014). </w:t>
      </w:r>
      <w:r>
        <w:rPr>
          <w:i/>
          <w:sz w:val="20"/>
        </w:rPr>
        <w:t>American Indian and Alaska Native community </w:t>
      </w:r>
      <w:r>
        <w:rPr>
          <w:i/>
          <w:sz w:val="20"/>
        </w:rPr>
        <w:t>health profile - Washington</w:t>
      </w:r>
      <w:r>
        <w:rPr>
          <w:sz w:val="20"/>
        </w:rPr>
        <w:t>. Portland, Oregon: Northwest Portland Area Indian Health Board. Available at </w:t>
      </w:r>
      <w:hyperlink r:id="rId11">
        <w:r>
          <w:rPr>
            <w:sz w:val="20"/>
          </w:rPr>
          <w:t>http://www.npaihb.org/idea-nw/</w:t>
        </w:r>
      </w:hyperlink>
    </w:p>
    <w:p>
      <w:pPr>
        <w:spacing w:after="0"/>
        <w:jc w:val="left"/>
        <w:rPr>
          <w:sz w:val="20"/>
        </w:rPr>
        <w:sectPr>
          <w:pgSz w:w="12240" w:h="15840"/>
          <w:pgMar w:header="0" w:footer="1355" w:top="1360" w:bottom="1540" w:left="620" w:right="740"/>
        </w:sectPr>
      </w:pPr>
    </w:p>
    <w:p>
      <w:pPr>
        <w:pStyle w:val="BodyText"/>
        <w:spacing w:line="276" w:lineRule="auto" w:before="82"/>
        <w:ind w:left="820" w:right="5712"/>
        <w:rPr>
          <w:sz w:val="14"/>
        </w:rPr>
      </w:pPr>
      <w:r>
        <w:rPr/>
        <w:pict>
          <v:group style="position:absolute;margin-left:311.744995pt;margin-top:5.237151pt;width:226.55pt;height:188.9pt;mso-position-horizontal-relative:page;mso-position-vertical-relative:paragraph;z-index:1264" coordorigin="6235,105" coordsize="4531,3778">
            <v:line style="position:absolute" from="6240,110" to="6240,3878" stroked="true" strokeweight=".023861pt" strokecolor="#000000">
              <v:stroke dashstyle="solid"/>
            </v:line>
            <v:shape style="position:absolute;left:6393;top:1308;width:3968;height:1646" type="#_x0000_t75" stroked="false">
              <v:imagedata r:id="rId13" o:title=""/>
            </v:shape>
            <v:rect style="position:absolute;left:6237;top:107;width:4526;height:3773" filled="false" stroked="true" strokeweight=".25pt" strokecolor="#252525">
              <v:stroke dashstyle="solid"/>
            </v:rect>
            <v:shape style="position:absolute;left:7447;top:3321;width:2130;height:219" type="#_x0000_t202" filled="false" stroked="false">
              <v:textbox inset="0,0,0,0">
                <w:txbxContent>
                  <w:p>
                    <w:pPr>
                      <w:spacing w:line="219" w:lineRule="exact" w:before="0"/>
                      <w:ind w:left="0" w:right="0" w:firstLine="0"/>
                      <w:jc w:val="left"/>
                      <w:rPr>
                        <w:rFonts w:ascii="Century Gothic"/>
                        <w:b/>
                        <w:sz w:val="18"/>
                      </w:rPr>
                    </w:pPr>
                    <w:r>
                      <w:rPr>
                        <w:rFonts w:ascii="Century Gothic"/>
                        <w:b/>
                        <w:sz w:val="18"/>
                      </w:rPr>
                      <w:t>Rate per 1,000 Live Births</w:t>
                    </w:r>
                  </w:p>
                </w:txbxContent>
              </v:textbox>
              <w10:wrap type="none"/>
            </v:shape>
            <v:shape style="position:absolute;left:9577;top:2959;width:131;height:243" type="#_x0000_t202" filled="false" stroked="false">
              <v:textbox inset="0,0,0,0">
                <w:txbxContent>
                  <w:p>
                    <w:pPr>
                      <w:spacing w:before="7"/>
                      <w:ind w:left="0" w:right="0" w:firstLine="0"/>
                      <w:jc w:val="left"/>
                      <w:rPr>
                        <w:rFonts w:ascii="Century Gothic"/>
                        <w:b/>
                        <w:sz w:val="19"/>
                      </w:rPr>
                    </w:pPr>
                    <w:r>
                      <w:rPr>
                        <w:rFonts w:ascii="Century Gothic"/>
                        <w:b/>
                        <w:w w:val="104"/>
                        <w:sz w:val="19"/>
                      </w:rPr>
                      <w:t>9</w:t>
                    </w:r>
                  </w:p>
                </w:txbxContent>
              </v:textbox>
              <w10:wrap type="none"/>
            </v:shape>
            <v:shape style="position:absolute;left:8773;top:2959;width:131;height:243" type="#_x0000_t202" filled="false" stroked="false">
              <v:textbox inset="0,0,0,0">
                <w:txbxContent>
                  <w:p>
                    <w:pPr>
                      <w:spacing w:before="7"/>
                      <w:ind w:left="0" w:right="0" w:firstLine="0"/>
                      <w:jc w:val="left"/>
                      <w:rPr>
                        <w:rFonts w:ascii="Century Gothic"/>
                        <w:b/>
                        <w:sz w:val="19"/>
                      </w:rPr>
                    </w:pPr>
                    <w:r>
                      <w:rPr>
                        <w:rFonts w:ascii="Century Gothic"/>
                        <w:b/>
                        <w:w w:val="104"/>
                        <w:sz w:val="19"/>
                      </w:rPr>
                      <w:t>6</w:t>
                    </w:r>
                  </w:p>
                </w:txbxContent>
              </v:textbox>
              <w10:wrap type="none"/>
            </v:shape>
            <v:shape style="position:absolute;left:7967;top:2959;width:131;height:243" type="#_x0000_t202" filled="false" stroked="false">
              <v:textbox inset="0,0,0,0">
                <w:txbxContent>
                  <w:p>
                    <w:pPr>
                      <w:spacing w:before="7"/>
                      <w:ind w:left="0" w:right="0" w:firstLine="0"/>
                      <w:jc w:val="left"/>
                      <w:rPr>
                        <w:rFonts w:ascii="Century Gothic"/>
                        <w:b/>
                        <w:sz w:val="19"/>
                      </w:rPr>
                    </w:pPr>
                    <w:r>
                      <w:rPr>
                        <w:rFonts w:ascii="Century Gothic"/>
                        <w:b/>
                        <w:w w:val="104"/>
                        <w:sz w:val="19"/>
                      </w:rPr>
                      <w:t>3</w:t>
                    </w:r>
                  </w:p>
                </w:txbxContent>
              </v:textbox>
              <w10:wrap type="none"/>
            </v:shape>
            <v:shape style="position:absolute;left:7072;top:2959;width:131;height:243" type="#_x0000_t202" filled="false" stroked="false">
              <v:textbox inset="0,0,0,0">
                <w:txbxContent>
                  <w:p>
                    <w:pPr>
                      <w:spacing w:before="7"/>
                      <w:ind w:left="0" w:right="0" w:firstLine="0"/>
                      <w:jc w:val="left"/>
                      <w:rPr>
                        <w:rFonts w:ascii="Century Gothic"/>
                        <w:b/>
                        <w:sz w:val="19"/>
                      </w:rPr>
                    </w:pPr>
                    <w:r>
                      <w:rPr>
                        <w:rFonts w:ascii="Century Gothic"/>
                        <w:b/>
                        <w:w w:val="104"/>
                        <w:sz w:val="19"/>
                      </w:rPr>
                      <w:t>0</w:t>
                    </w:r>
                  </w:p>
                </w:txbxContent>
              </v:textbox>
              <w10:wrap type="none"/>
            </v:shape>
            <v:shape style="position:absolute;left:6500;top:462;width:4026;height:731" type="#_x0000_t202" filled="false" stroked="false">
              <v:textbox inset="0,0,0,0">
                <w:txbxContent>
                  <w:p>
                    <w:pPr>
                      <w:spacing w:line="249" w:lineRule="auto" w:before="7"/>
                      <w:ind w:left="0" w:right="18" w:firstLine="0"/>
                      <w:jc w:val="center"/>
                      <w:rPr>
                        <w:rFonts w:ascii="Century Gothic"/>
                        <w:b/>
                        <w:sz w:val="19"/>
                      </w:rPr>
                    </w:pPr>
                    <w:r>
                      <w:rPr>
                        <w:rFonts w:ascii="Century Gothic"/>
                        <w:b/>
                        <w:w w:val="105"/>
                        <w:sz w:val="19"/>
                      </w:rPr>
                      <w:t>Chart 2: Infant Mortality by Maternal</w:t>
                    </w:r>
                    <w:r>
                      <w:rPr>
                        <w:rFonts w:ascii="Century Gothic"/>
                        <w:b/>
                        <w:spacing w:val="-36"/>
                        <w:w w:val="105"/>
                        <w:sz w:val="19"/>
                      </w:rPr>
                      <w:t> </w:t>
                    </w:r>
                    <w:r>
                      <w:rPr>
                        <w:rFonts w:ascii="Century Gothic"/>
                        <w:b/>
                        <w:w w:val="105"/>
                        <w:sz w:val="19"/>
                      </w:rPr>
                      <w:t>Race Washington</w:t>
                    </w:r>
                    <w:r>
                      <w:rPr>
                        <w:rFonts w:ascii="Century Gothic"/>
                        <w:b/>
                        <w:spacing w:val="-2"/>
                        <w:w w:val="105"/>
                        <w:sz w:val="19"/>
                      </w:rPr>
                      <w:t> </w:t>
                    </w:r>
                    <w:r>
                      <w:rPr>
                        <w:rFonts w:ascii="Century Gothic"/>
                        <w:b/>
                        <w:w w:val="105"/>
                        <w:sz w:val="19"/>
                      </w:rPr>
                      <w:t>State</w:t>
                    </w:r>
                  </w:p>
                  <w:p>
                    <w:pPr>
                      <w:spacing w:before="4"/>
                      <w:ind w:left="0" w:right="15" w:firstLine="0"/>
                      <w:jc w:val="center"/>
                      <w:rPr>
                        <w:rFonts w:ascii="Century Gothic"/>
                        <w:b/>
                        <w:sz w:val="19"/>
                      </w:rPr>
                    </w:pPr>
                    <w:r>
                      <w:rPr>
                        <w:rFonts w:ascii="Century Gothic"/>
                        <w:b/>
                        <w:w w:val="105"/>
                        <w:sz w:val="19"/>
                      </w:rPr>
                      <w:t>DOH, 2013-2015</w:t>
                    </w:r>
                  </w:p>
                </w:txbxContent>
              </v:textbox>
              <w10:wrap type="none"/>
            </v:shape>
            <w10:wrap type="none"/>
          </v:group>
        </w:pict>
      </w:r>
      <w:r>
        <w:rPr/>
        <w:t>for AI/ANs as compared to the other </w:t>
      </w:r>
      <w:r>
        <w:rPr>
          <w:color w:val="252525"/>
        </w:rPr>
        <w:t>race </w:t>
      </w:r>
      <w:r>
        <w:rPr/>
        <w:t>categories — keeping in mind that the state’s racial category data do not include individuals who self-identify with more than one racial category.</w:t>
      </w:r>
      <w:r>
        <w:rPr>
          <w:position w:val="5"/>
          <w:sz w:val="14"/>
        </w:rPr>
        <w:t>3</w:t>
      </w:r>
    </w:p>
    <w:p>
      <w:pPr>
        <w:pStyle w:val="ListParagraph"/>
        <w:numPr>
          <w:ilvl w:val="0"/>
          <w:numId w:val="3"/>
        </w:numPr>
        <w:tabs>
          <w:tab w:pos="1541" w:val="left" w:leader="none"/>
        </w:tabs>
        <w:spacing w:line="276" w:lineRule="auto" w:before="199" w:after="0"/>
        <w:ind w:left="1540" w:right="5569" w:hanging="360"/>
        <w:jc w:val="both"/>
        <w:rPr>
          <w:rFonts w:ascii="Symbol" w:hAnsi="Symbol"/>
          <w:sz w:val="22"/>
        </w:rPr>
      </w:pPr>
      <w:r>
        <w:rPr>
          <w:rFonts w:ascii="Cambria" w:hAnsi="Cambria"/>
          <w:sz w:val="22"/>
        </w:rPr>
        <w:t>Infant mortality rate for AI/AN mothers is nearly twice the rate for non-Hispanic white mothers (Chart</w:t>
      </w:r>
      <w:r>
        <w:rPr>
          <w:rFonts w:ascii="Cambria" w:hAnsi="Cambria"/>
          <w:spacing w:val="-4"/>
          <w:sz w:val="22"/>
        </w:rPr>
        <w:t> </w:t>
      </w:r>
      <w:r>
        <w:rPr>
          <w:rFonts w:ascii="Cambria" w:hAnsi="Cambria"/>
          <w:sz w:val="22"/>
        </w:rPr>
        <w:t>2).</w:t>
      </w:r>
    </w:p>
    <w:p>
      <w:pPr>
        <w:pStyle w:val="ListParagraph"/>
        <w:numPr>
          <w:ilvl w:val="0"/>
          <w:numId w:val="3"/>
        </w:numPr>
        <w:tabs>
          <w:tab w:pos="1541" w:val="left" w:leader="none"/>
        </w:tabs>
        <w:spacing w:line="276" w:lineRule="auto" w:before="0" w:after="0"/>
        <w:ind w:left="1540" w:right="5957" w:hanging="360"/>
        <w:jc w:val="both"/>
        <w:rPr>
          <w:rFonts w:ascii="Symbol" w:hAnsi="Symbol"/>
          <w:sz w:val="22"/>
        </w:rPr>
      </w:pPr>
      <w:r>
        <w:rPr>
          <w:rFonts w:ascii="Cambria" w:hAnsi="Cambria"/>
          <w:sz w:val="22"/>
        </w:rPr>
        <w:t>Completed suicide rate for AI/AN is much higher than for any other race (Chart</w:t>
      </w:r>
      <w:r>
        <w:rPr>
          <w:rFonts w:ascii="Cambria" w:hAnsi="Cambria"/>
          <w:spacing w:val="-1"/>
          <w:sz w:val="22"/>
        </w:rPr>
        <w:t> </w:t>
      </w:r>
      <w:r>
        <w:rPr>
          <w:rFonts w:ascii="Cambria" w:hAnsi="Cambria"/>
          <w:sz w:val="22"/>
        </w:rPr>
        <w:t>3).</w:t>
      </w:r>
    </w:p>
    <w:p>
      <w:pPr>
        <w:pStyle w:val="ListParagraph"/>
        <w:numPr>
          <w:ilvl w:val="0"/>
          <w:numId w:val="3"/>
        </w:numPr>
        <w:tabs>
          <w:tab w:pos="1540" w:val="left" w:leader="none"/>
          <w:tab w:pos="1541" w:val="left" w:leader="none"/>
        </w:tabs>
        <w:spacing w:line="276" w:lineRule="auto" w:before="0" w:after="0"/>
        <w:ind w:left="1540" w:right="5625" w:hanging="360"/>
        <w:jc w:val="left"/>
        <w:rPr>
          <w:rFonts w:ascii="Symbol" w:hAnsi="Symbol"/>
          <w:sz w:val="22"/>
        </w:rPr>
      </w:pPr>
      <w:r>
        <w:rPr/>
        <w:pict>
          <v:group style="position:absolute;margin-left:311.744995pt;margin-top:25.574104pt;width:226.9pt;height:177.75pt;mso-position-horizontal-relative:page;mso-position-vertical-relative:paragraph;z-index:1432" coordorigin="6235,511" coordsize="4538,3555">
            <v:shape style="position:absolute;left:6391;top:1719;width:3822;height:1434" type="#_x0000_t75" stroked="false">
              <v:imagedata r:id="rId14" o:title=""/>
            </v:shape>
            <v:rect style="position:absolute;left:6237;top:513;width:4533;height:3550" filled="false" stroked="true" strokeweight=".25pt" strokecolor="#252525">
              <v:stroke dashstyle="solid"/>
            </v:rect>
            <v:shape style="position:absolute;left:7152;top:3495;width:2720;height:220" type="#_x0000_t202" filled="false" stroked="false">
              <v:textbox inset="0,0,0,0">
                <w:txbxContent>
                  <w:p>
                    <w:pPr>
                      <w:spacing w:line="220" w:lineRule="exact" w:before="0"/>
                      <w:ind w:left="0" w:right="0" w:firstLine="0"/>
                      <w:jc w:val="left"/>
                      <w:rPr>
                        <w:rFonts w:ascii="Century Gothic"/>
                        <w:b/>
                        <w:sz w:val="18"/>
                      </w:rPr>
                    </w:pPr>
                    <w:r>
                      <w:rPr>
                        <w:rFonts w:ascii="Century Gothic"/>
                        <w:b/>
                        <w:sz w:val="18"/>
                      </w:rPr>
                      <w:t>Age-Adjusted Rate per 100,000</w:t>
                    </w:r>
                  </w:p>
                </w:txbxContent>
              </v:textbox>
              <w10:wrap type="none"/>
            </v:shape>
            <v:shape style="position:absolute;left:9994;top:3156;width:222;height:220" type="#_x0000_t202" filled="false" stroked="false">
              <v:textbox inset="0,0,0,0">
                <w:txbxContent>
                  <w:p>
                    <w:pPr>
                      <w:spacing w:line="220" w:lineRule="exact" w:before="0"/>
                      <w:ind w:left="0" w:right="0" w:firstLine="0"/>
                      <w:jc w:val="left"/>
                      <w:rPr>
                        <w:rFonts w:ascii="Century Gothic"/>
                        <w:b/>
                        <w:sz w:val="18"/>
                      </w:rPr>
                    </w:pPr>
                    <w:r>
                      <w:rPr>
                        <w:rFonts w:ascii="Century Gothic"/>
                        <w:b/>
                        <w:sz w:val="18"/>
                      </w:rPr>
                      <w:t>30</w:t>
                    </w:r>
                  </w:p>
                </w:txbxContent>
              </v:textbox>
              <w10:wrap type="none"/>
            </v:shape>
            <v:shape style="position:absolute;left:9096;top:3156;width:222;height:220" type="#_x0000_t202" filled="false" stroked="false">
              <v:textbox inset="0,0,0,0">
                <w:txbxContent>
                  <w:p>
                    <w:pPr>
                      <w:spacing w:line="220" w:lineRule="exact" w:before="0"/>
                      <w:ind w:left="0" w:right="0" w:firstLine="0"/>
                      <w:jc w:val="left"/>
                      <w:rPr>
                        <w:rFonts w:ascii="Century Gothic"/>
                        <w:b/>
                        <w:sz w:val="18"/>
                      </w:rPr>
                    </w:pPr>
                    <w:r>
                      <w:rPr>
                        <w:rFonts w:ascii="Century Gothic"/>
                        <w:b/>
                        <w:sz w:val="18"/>
                      </w:rPr>
                      <w:t>20</w:t>
                    </w:r>
                  </w:p>
                </w:txbxContent>
              </v:textbox>
              <w10:wrap type="none"/>
            </v:shape>
            <v:shape style="position:absolute;left:8199;top:3156;width:222;height:220" type="#_x0000_t202" filled="false" stroked="false">
              <v:textbox inset="0,0,0,0">
                <w:txbxContent>
                  <w:p>
                    <w:pPr>
                      <w:spacing w:line="220" w:lineRule="exact" w:before="0"/>
                      <w:ind w:left="0" w:right="0" w:firstLine="0"/>
                      <w:jc w:val="left"/>
                      <w:rPr>
                        <w:rFonts w:ascii="Century Gothic"/>
                        <w:b/>
                        <w:sz w:val="18"/>
                      </w:rPr>
                    </w:pPr>
                    <w:r>
                      <w:rPr>
                        <w:rFonts w:ascii="Century Gothic"/>
                        <w:b/>
                        <w:sz w:val="18"/>
                      </w:rPr>
                      <w:t>10</w:t>
                    </w:r>
                  </w:p>
                </w:txbxContent>
              </v:textbox>
              <w10:wrap type="none"/>
            </v:shape>
            <v:shape style="position:absolute;left:7301;top:3156;width:121;height:220" type="#_x0000_t202" filled="false" stroked="false">
              <v:textbox inset="0,0,0,0">
                <w:txbxContent>
                  <w:p>
                    <w:pPr>
                      <w:spacing w:line="220" w:lineRule="exact" w:before="0"/>
                      <w:ind w:left="0" w:right="0" w:firstLine="0"/>
                      <w:jc w:val="left"/>
                      <w:rPr>
                        <w:rFonts w:ascii="Century Gothic"/>
                        <w:b/>
                        <w:sz w:val="18"/>
                      </w:rPr>
                    </w:pPr>
                    <w:r>
                      <w:rPr>
                        <w:rFonts w:ascii="Century Gothic"/>
                        <w:b/>
                        <w:w w:val="99"/>
                        <w:sz w:val="18"/>
                      </w:rPr>
                      <w:t>0</w:t>
                    </w:r>
                  </w:p>
                </w:txbxContent>
              </v:textbox>
              <w10:wrap type="none"/>
            </v:shape>
            <v:shape style="position:absolute;left:7670;top:870;width:1681;height:733" type="#_x0000_t202" filled="false" stroked="false">
              <v:textbox inset="0,0,0,0">
                <w:txbxContent>
                  <w:p>
                    <w:pPr>
                      <w:spacing w:before="0"/>
                      <w:ind w:left="0" w:right="18" w:firstLine="1"/>
                      <w:jc w:val="center"/>
                      <w:rPr>
                        <w:rFonts w:ascii="Century Gothic"/>
                        <w:b/>
                        <w:sz w:val="20"/>
                      </w:rPr>
                    </w:pPr>
                    <w:r>
                      <w:rPr>
                        <w:rFonts w:ascii="Century Gothic"/>
                        <w:b/>
                        <w:sz w:val="20"/>
                      </w:rPr>
                      <w:t>Chart 3: Suicide Washington </w:t>
                    </w:r>
                    <w:r>
                      <w:rPr>
                        <w:rFonts w:ascii="Century Gothic"/>
                        <w:b/>
                        <w:spacing w:val="-3"/>
                        <w:sz w:val="20"/>
                      </w:rPr>
                      <w:t>State </w:t>
                    </w:r>
                    <w:r>
                      <w:rPr>
                        <w:rFonts w:ascii="Century Gothic"/>
                        <w:b/>
                        <w:sz w:val="20"/>
                      </w:rPr>
                      <w:t>DOH, 2011-2015</w:t>
                    </w:r>
                  </w:p>
                </w:txbxContent>
              </v:textbox>
              <w10:wrap type="none"/>
            </v:shape>
            <w10:wrap type="none"/>
          </v:group>
        </w:pict>
      </w:r>
      <w:r>
        <w:rPr>
          <w:rFonts w:ascii="Cambria" w:hAnsi="Cambria"/>
          <w:sz w:val="22"/>
        </w:rPr>
        <w:t>Drug overdose mortality rate for AI/AN is more than twice the rate for non- Hispanic whites (Chart 4).</w:t>
      </w:r>
    </w:p>
    <w:p>
      <w:pPr>
        <w:pStyle w:val="BodyText"/>
        <w:spacing w:line="276" w:lineRule="auto" w:before="197"/>
        <w:ind w:left="820" w:right="5474"/>
      </w:pPr>
      <w:r>
        <w:rPr/>
        <w:t>The disparities continue across the spectrum of chronic diseases and mental illnesses. Compared to non-Hispanic whites, AI/ANs have significantly higher rates of:</w:t>
      </w:r>
    </w:p>
    <w:p>
      <w:pPr>
        <w:pStyle w:val="ListParagraph"/>
        <w:numPr>
          <w:ilvl w:val="0"/>
          <w:numId w:val="3"/>
        </w:numPr>
        <w:tabs>
          <w:tab w:pos="1540" w:val="left" w:leader="none"/>
          <w:tab w:pos="1541" w:val="left" w:leader="none"/>
        </w:tabs>
        <w:spacing w:line="240" w:lineRule="auto" w:before="200" w:after="0"/>
        <w:ind w:left="1540" w:right="0" w:hanging="360"/>
        <w:jc w:val="left"/>
        <w:rPr>
          <w:rFonts w:ascii="Symbol" w:hAnsi="Symbol"/>
          <w:color w:val="252525"/>
          <w:sz w:val="22"/>
        </w:rPr>
      </w:pPr>
      <w:r>
        <w:rPr>
          <w:rFonts w:ascii="Cambria" w:hAnsi="Cambria"/>
          <w:color w:val="252525"/>
          <w:sz w:val="22"/>
        </w:rPr>
        <w:t>Asthma;</w:t>
      </w:r>
    </w:p>
    <w:p>
      <w:pPr>
        <w:pStyle w:val="ListParagraph"/>
        <w:numPr>
          <w:ilvl w:val="0"/>
          <w:numId w:val="3"/>
        </w:numPr>
        <w:tabs>
          <w:tab w:pos="1540" w:val="left" w:leader="none"/>
          <w:tab w:pos="1541" w:val="left" w:leader="none"/>
        </w:tabs>
        <w:spacing w:line="276" w:lineRule="auto" w:before="37" w:after="0"/>
        <w:ind w:left="1540" w:right="6761" w:hanging="360"/>
        <w:jc w:val="left"/>
        <w:rPr>
          <w:rFonts w:ascii="Symbol" w:hAnsi="Symbol"/>
          <w:color w:val="252525"/>
          <w:sz w:val="22"/>
        </w:rPr>
      </w:pPr>
      <w:r>
        <w:rPr>
          <w:rFonts w:ascii="Cambria" w:hAnsi="Cambria"/>
          <w:color w:val="252525"/>
          <w:sz w:val="22"/>
        </w:rPr>
        <w:t>Coronary heart disease and hypertension;</w:t>
      </w:r>
    </w:p>
    <w:p>
      <w:pPr>
        <w:pStyle w:val="ListParagraph"/>
        <w:numPr>
          <w:ilvl w:val="0"/>
          <w:numId w:val="3"/>
        </w:numPr>
        <w:tabs>
          <w:tab w:pos="1540" w:val="left" w:leader="none"/>
          <w:tab w:pos="1541" w:val="left" w:leader="none"/>
        </w:tabs>
        <w:spacing w:line="240" w:lineRule="auto" w:before="0" w:after="0"/>
        <w:ind w:left="1540" w:right="0" w:hanging="360"/>
        <w:jc w:val="left"/>
        <w:rPr>
          <w:rFonts w:ascii="Symbol" w:hAnsi="Symbol"/>
          <w:color w:val="252525"/>
          <w:sz w:val="22"/>
        </w:rPr>
      </w:pPr>
      <w:r>
        <w:rPr>
          <w:rFonts w:ascii="Cambria" w:hAnsi="Cambria"/>
          <w:color w:val="252525"/>
          <w:sz w:val="22"/>
        </w:rPr>
        <w:t>Diabetes, pre-diabetes, and</w:t>
      </w:r>
      <w:r>
        <w:rPr>
          <w:rFonts w:ascii="Cambria" w:hAnsi="Cambria"/>
          <w:color w:val="252525"/>
          <w:spacing w:val="-2"/>
          <w:sz w:val="22"/>
        </w:rPr>
        <w:t> </w:t>
      </w:r>
      <w:r>
        <w:rPr>
          <w:rFonts w:ascii="Cambria" w:hAnsi="Cambria"/>
          <w:color w:val="252525"/>
          <w:sz w:val="22"/>
        </w:rPr>
        <w:t>obesity;</w:t>
      </w:r>
    </w:p>
    <w:p>
      <w:pPr>
        <w:pStyle w:val="ListParagraph"/>
        <w:numPr>
          <w:ilvl w:val="0"/>
          <w:numId w:val="3"/>
        </w:numPr>
        <w:tabs>
          <w:tab w:pos="1540" w:val="left" w:leader="none"/>
          <w:tab w:pos="1541" w:val="left" w:leader="none"/>
        </w:tabs>
        <w:spacing w:line="240" w:lineRule="auto" w:before="38" w:after="0"/>
        <w:ind w:left="1540" w:right="0" w:hanging="360"/>
        <w:jc w:val="left"/>
        <w:rPr>
          <w:rFonts w:ascii="Symbol" w:hAnsi="Symbol"/>
          <w:color w:val="252525"/>
          <w:sz w:val="22"/>
        </w:rPr>
      </w:pPr>
      <w:r>
        <w:rPr>
          <w:rFonts w:ascii="Cambria" w:hAnsi="Cambria"/>
          <w:color w:val="252525"/>
          <w:sz w:val="22"/>
        </w:rPr>
        <w:t>Dental caries in third</w:t>
      </w:r>
      <w:r>
        <w:rPr>
          <w:rFonts w:ascii="Cambria" w:hAnsi="Cambria"/>
          <w:color w:val="252525"/>
          <w:spacing w:val="-2"/>
          <w:sz w:val="22"/>
        </w:rPr>
        <w:t> </w:t>
      </w:r>
      <w:r>
        <w:rPr>
          <w:rFonts w:ascii="Cambria" w:hAnsi="Cambria"/>
          <w:color w:val="252525"/>
          <w:sz w:val="22"/>
        </w:rPr>
        <w:t>grade;</w:t>
      </w:r>
    </w:p>
    <w:p>
      <w:pPr>
        <w:pStyle w:val="ListParagraph"/>
        <w:numPr>
          <w:ilvl w:val="0"/>
          <w:numId w:val="3"/>
        </w:numPr>
        <w:tabs>
          <w:tab w:pos="1540" w:val="left" w:leader="none"/>
          <w:tab w:pos="1541" w:val="left" w:leader="none"/>
        </w:tabs>
        <w:spacing w:line="276" w:lineRule="auto" w:before="39" w:after="0"/>
        <w:ind w:left="1540" w:right="5483" w:hanging="360"/>
        <w:jc w:val="left"/>
        <w:rPr>
          <w:rFonts w:ascii="Symbol" w:hAnsi="Symbol"/>
          <w:color w:val="252525"/>
          <w:sz w:val="22"/>
        </w:rPr>
      </w:pPr>
      <w:r>
        <w:rPr/>
        <w:pict>
          <v:group style="position:absolute;margin-left:311.744995pt;margin-top:14.114086pt;width:226.95pt;height:230.55pt;mso-position-horizontal-relative:page;mso-position-vertical-relative:paragraph;z-index:1480" coordorigin="6235,282" coordsize="4539,4611">
            <v:shape style="position:absolute;left:6413;top:1489;width:4133;height:2667" type="#_x0000_t75" stroked="false">
              <v:imagedata r:id="rId15" o:title=""/>
            </v:shape>
            <v:shape style="position:absolute;left:6237;top:284;width:4534;height:4606" type="#_x0000_t202" filled="false" stroked="true" strokeweight=".25pt" strokecolor="#252525">
              <v:textbox inset="0,0,0,0">
                <w:txbxContent>
                  <w:p>
                    <w:pPr>
                      <w:spacing w:line="240" w:lineRule="auto" w:before="0"/>
                      <w:rPr>
                        <w:sz w:val="30"/>
                      </w:rPr>
                    </w:pPr>
                  </w:p>
                  <w:p>
                    <w:pPr>
                      <w:spacing w:before="0"/>
                      <w:ind w:left="1430" w:right="951" w:hanging="302"/>
                      <w:jc w:val="left"/>
                      <w:rPr>
                        <w:rFonts w:ascii="Century Gothic"/>
                        <w:b/>
                        <w:sz w:val="20"/>
                      </w:rPr>
                    </w:pPr>
                    <w:r>
                      <w:rPr>
                        <w:rFonts w:ascii="Century Gothic"/>
                        <w:b/>
                        <w:sz w:val="20"/>
                      </w:rPr>
                      <w:t>Chart 4: Drug Overdose Washington State DOH, 2012-2016</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9"/>
                      <w:rPr>
                        <w:sz w:val="35"/>
                      </w:rPr>
                    </w:pPr>
                  </w:p>
                  <w:p>
                    <w:pPr>
                      <w:spacing w:before="0"/>
                      <w:ind w:left="912" w:right="0" w:firstLine="0"/>
                      <w:jc w:val="left"/>
                      <w:rPr>
                        <w:rFonts w:ascii="Century Gothic"/>
                        <w:b/>
                        <w:sz w:val="18"/>
                      </w:rPr>
                    </w:pPr>
                    <w:r>
                      <w:rPr>
                        <w:rFonts w:ascii="Century Gothic"/>
                        <w:b/>
                        <w:sz w:val="18"/>
                      </w:rPr>
                      <w:t>Age-Adjusted Rate per 100,000</w:t>
                    </w:r>
                  </w:p>
                </w:txbxContent>
              </v:textbox>
              <v:stroke dashstyle="solid"/>
              <w10:wrap type="none"/>
            </v:shape>
            <w10:wrap type="none"/>
          </v:group>
        </w:pict>
      </w:r>
      <w:r>
        <w:rPr>
          <w:rFonts w:ascii="Cambria" w:hAnsi="Cambria"/>
          <w:color w:val="252525"/>
          <w:sz w:val="22"/>
        </w:rPr>
        <w:t>Poor mental health and youth depressive feelings;</w:t>
      </w:r>
    </w:p>
    <w:p>
      <w:pPr>
        <w:pStyle w:val="ListParagraph"/>
        <w:numPr>
          <w:ilvl w:val="0"/>
          <w:numId w:val="3"/>
        </w:numPr>
        <w:tabs>
          <w:tab w:pos="1540" w:val="left" w:leader="none"/>
          <w:tab w:pos="1541" w:val="left" w:leader="none"/>
        </w:tabs>
        <w:spacing w:line="268" w:lineRule="exact" w:before="0" w:after="0"/>
        <w:ind w:left="1540" w:right="0" w:hanging="360"/>
        <w:jc w:val="left"/>
        <w:rPr>
          <w:rFonts w:ascii="Symbol" w:hAnsi="Symbol"/>
          <w:color w:val="252525"/>
          <w:sz w:val="22"/>
        </w:rPr>
      </w:pPr>
      <w:r>
        <w:rPr>
          <w:rFonts w:ascii="Cambria" w:hAnsi="Cambria"/>
          <w:color w:val="252525"/>
          <w:sz w:val="22"/>
        </w:rPr>
        <w:t>Adult and youth cigarette smoking</w:t>
      </w:r>
      <w:r>
        <w:rPr>
          <w:rFonts w:ascii="Cambria" w:hAnsi="Cambria"/>
          <w:color w:val="252525"/>
          <w:spacing w:val="-9"/>
          <w:sz w:val="22"/>
        </w:rPr>
        <w:t> </w:t>
      </w:r>
      <w:r>
        <w:rPr>
          <w:rFonts w:ascii="Cambria" w:hAnsi="Cambria"/>
          <w:color w:val="252525"/>
          <w:sz w:val="22"/>
        </w:rPr>
        <w:t>and</w:t>
      </w:r>
    </w:p>
    <w:p>
      <w:pPr>
        <w:pStyle w:val="BodyText"/>
        <w:spacing w:before="40"/>
        <w:ind w:left="1540"/>
      </w:pPr>
      <w:r>
        <w:rPr>
          <w:color w:val="252525"/>
        </w:rPr>
        <w:t>vaping;</w:t>
      </w:r>
    </w:p>
    <w:p>
      <w:pPr>
        <w:pStyle w:val="ListParagraph"/>
        <w:numPr>
          <w:ilvl w:val="0"/>
          <w:numId w:val="3"/>
        </w:numPr>
        <w:tabs>
          <w:tab w:pos="1540" w:val="left" w:leader="none"/>
          <w:tab w:pos="1541" w:val="left" w:leader="none"/>
        </w:tabs>
        <w:spacing w:line="240" w:lineRule="auto" w:before="37" w:after="0"/>
        <w:ind w:left="1540" w:right="0" w:hanging="360"/>
        <w:jc w:val="left"/>
        <w:rPr>
          <w:rFonts w:ascii="Symbol" w:hAnsi="Symbol"/>
          <w:color w:val="252525"/>
          <w:sz w:val="22"/>
        </w:rPr>
      </w:pPr>
      <w:r>
        <w:rPr>
          <w:rFonts w:ascii="Cambria" w:hAnsi="Cambria"/>
          <w:color w:val="252525"/>
          <w:sz w:val="22"/>
        </w:rPr>
        <w:t>Adult and youth cannabis use;</w:t>
      </w:r>
      <w:r>
        <w:rPr>
          <w:rFonts w:ascii="Cambria" w:hAnsi="Cambria"/>
          <w:color w:val="252525"/>
          <w:spacing w:val="-8"/>
          <w:sz w:val="22"/>
        </w:rPr>
        <w:t> </w:t>
      </w:r>
      <w:r>
        <w:rPr>
          <w:rFonts w:ascii="Cambria" w:hAnsi="Cambria"/>
          <w:color w:val="252525"/>
          <w:sz w:val="22"/>
        </w:rPr>
        <w:t>and</w:t>
      </w:r>
    </w:p>
    <w:p>
      <w:pPr>
        <w:pStyle w:val="ListParagraph"/>
        <w:numPr>
          <w:ilvl w:val="0"/>
          <w:numId w:val="3"/>
        </w:numPr>
        <w:tabs>
          <w:tab w:pos="1540" w:val="left" w:leader="none"/>
          <w:tab w:pos="1541" w:val="left" w:leader="none"/>
        </w:tabs>
        <w:spacing w:line="240" w:lineRule="auto" w:before="40" w:after="0"/>
        <w:ind w:left="1540" w:right="0" w:hanging="360"/>
        <w:jc w:val="left"/>
        <w:rPr>
          <w:rFonts w:ascii="Symbol" w:hAnsi="Symbol"/>
          <w:color w:val="252525"/>
          <w:sz w:val="22"/>
        </w:rPr>
      </w:pPr>
      <w:r>
        <w:rPr>
          <w:rFonts w:ascii="Cambria" w:hAnsi="Cambria"/>
          <w:color w:val="252525"/>
          <w:sz w:val="22"/>
        </w:rPr>
        <w:t>Fetal alcohol spectrum</w:t>
      </w:r>
      <w:r>
        <w:rPr>
          <w:rFonts w:ascii="Cambria" w:hAnsi="Cambria"/>
          <w:color w:val="252525"/>
          <w:spacing w:val="-3"/>
          <w:sz w:val="22"/>
        </w:rPr>
        <w:t> </w:t>
      </w:r>
      <w:r>
        <w:rPr>
          <w:rFonts w:ascii="Cambria" w:hAnsi="Cambria"/>
          <w:color w:val="252525"/>
          <w:sz w:val="22"/>
        </w:rPr>
        <w:t>disorder.</w:t>
      </w:r>
      <w:r>
        <w:rPr>
          <w:rFonts w:ascii="Cambria" w:hAnsi="Cambria"/>
          <w:color w:val="252525"/>
          <w:position w:val="5"/>
          <w:sz w:val="14"/>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line style="position:absolute;mso-position-horizontal-relative:page;mso-position-vertical-relative:paragraph;z-index:-952;mso-wrap-distance-left:0;mso-wrap-distance-right:0" from="72.024002pt,17.765131pt" to="216.044002pt,17.765131pt" stroked="true" strokeweight=".60004pt" strokecolor="#000000">
            <v:stroke dashstyle="solid"/>
            <w10:wrap type="topAndBottom"/>
          </v:line>
        </w:pict>
      </w:r>
    </w:p>
    <w:p>
      <w:pPr>
        <w:spacing w:after="0"/>
        <w:rPr>
          <w:sz w:val="26"/>
        </w:rPr>
        <w:sectPr>
          <w:footerReference w:type="default" r:id="rId12"/>
          <w:pgSz w:w="12240" w:h="15840"/>
          <w:pgMar w:footer="1650" w:header="0" w:top="1360" w:bottom="1840" w:left="620" w:right="740"/>
          <w:pgNumType w:start="4"/>
        </w:sectPr>
      </w:pPr>
    </w:p>
    <w:p>
      <w:pPr>
        <w:pStyle w:val="Heading2"/>
      </w:pPr>
      <w:bookmarkStart w:name="_bookmark4" w:id="5"/>
      <w:bookmarkEnd w:id="5"/>
      <w:r>
        <w:rPr>
          <w:b w:val="0"/>
        </w:rPr>
      </w:r>
      <w:r>
        <w:rPr>
          <w:color w:val="CF9F52"/>
        </w:rPr>
        <w:t>Adverse Childhood Experiences and Historical Trauma</w:t>
      </w:r>
    </w:p>
    <w:p>
      <w:pPr>
        <w:pStyle w:val="BodyText"/>
        <w:spacing w:line="276" w:lineRule="auto" w:before="190"/>
        <w:ind w:left="820" w:right="7310"/>
      </w:pPr>
      <w:r>
        <w:rPr/>
        <w:pict>
          <v:group style="position:absolute;margin-left:221.755005pt;margin-top:10.847149pt;width:316.55pt;height:235.9pt;mso-position-horizontal-relative:page;mso-position-vertical-relative:paragraph;z-index:1600" coordorigin="4435,217" coordsize="6331,4718">
            <v:shape style="position:absolute;left:4533;top:658;width:6228;height:4269" type="#_x0000_t75" stroked="false">
              <v:imagedata r:id="rId17" o:title=""/>
            </v:shape>
            <v:shape style="position:absolute;left:4437;top:219;width:6326;height:4713" type="#_x0000_t202" filled="false" stroked="true" strokeweight=".25pt" strokecolor="#000000">
              <v:textbox inset="0,0,0,0">
                <w:txbxContent>
                  <w:p>
                    <w:pPr>
                      <w:spacing w:line="240" w:lineRule="auto" w:before="8"/>
                      <w:rPr>
                        <w:sz w:val="18"/>
                      </w:rPr>
                    </w:pPr>
                  </w:p>
                  <w:p>
                    <w:pPr>
                      <w:spacing w:before="0"/>
                      <w:ind w:left="360" w:right="0" w:firstLine="0"/>
                      <w:jc w:val="left"/>
                      <w:rPr>
                        <w:rFonts w:ascii="Century Gothic"/>
                        <w:b/>
                        <w:sz w:val="18"/>
                      </w:rPr>
                    </w:pPr>
                    <w:r>
                      <w:rPr>
                        <w:rFonts w:ascii="Century Gothic"/>
                        <w:b/>
                        <w:sz w:val="18"/>
                      </w:rPr>
                      <w:t>Diagram 1: Impact of Adverse Childhood Experiences on Health</w:t>
                    </w:r>
                  </w:p>
                </w:txbxContent>
              </v:textbox>
              <v:stroke dashstyle="solid"/>
              <w10:wrap type="none"/>
            </v:shape>
            <w10:wrap type="none"/>
          </v:group>
        </w:pict>
      </w:r>
      <w:r>
        <w:rPr>
          <w:color w:val="252525"/>
        </w:rPr>
        <w:t>Higher rates of poor health and poor health outcomes — as reflected in the health disparities data — have been associated with higher rates of adverse childhood experiences (ACEs).</w:t>
      </w:r>
      <w:r>
        <w:rPr>
          <w:color w:val="252525"/>
          <w:position w:val="5"/>
          <w:sz w:val="14"/>
        </w:rPr>
        <w:t>4 </w:t>
      </w:r>
      <w:r>
        <w:rPr>
          <w:color w:val="252525"/>
        </w:rPr>
        <w:t>When ACEs disrupt neuro- development and impair social, emotional, and cognitive growth, individuals adopt health-risk behaviors that lead to disease, dis- ability, and social problems</w:t>
      </w:r>
    </w:p>
    <w:p>
      <w:pPr>
        <w:pStyle w:val="ListParagraph"/>
        <w:numPr>
          <w:ilvl w:val="0"/>
          <w:numId w:val="4"/>
        </w:numPr>
        <w:tabs>
          <w:tab w:pos="1090" w:val="left" w:leader="none"/>
        </w:tabs>
        <w:spacing w:line="276" w:lineRule="auto" w:before="3" w:after="0"/>
        <w:ind w:left="820" w:right="7415" w:firstLine="0"/>
        <w:jc w:val="left"/>
        <w:rPr>
          <w:rFonts w:ascii="Cambria" w:hAnsi="Cambria"/>
          <w:sz w:val="14"/>
        </w:rPr>
      </w:pPr>
      <w:r>
        <w:rPr/>
        <w:pict>
          <v:group style="position:absolute;margin-left:311.744995pt;margin-top:47.29715pt;width:226.95pt;height:183.2pt;mso-position-horizontal-relative:page;mso-position-vertical-relative:paragraph;z-index:1552" coordorigin="6235,946" coordsize="4539,3664">
            <v:shape style="position:absolute;left:6413;top:2153;width:3690;height:1548" type="#_x0000_t75" stroked="false">
              <v:imagedata r:id="rId18" o:title=""/>
            </v:shape>
            <v:shape style="position:absolute;left:6237;top:948;width:4534;height:3659" type="#_x0000_t202" filled="false" stroked="true" strokeweight=".25pt" strokecolor="#252525">
              <v:textbox inset="0,0,0,0">
                <w:txbxContent>
                  <w:p>
                    <w:pPr>
                      <w:spacing w:line="240" w:lineRule="auto" w:before="0"/>
                      <w:rPr>
                        <w:sz w:val="30"/>
                      </w:rPr>
                    </w:pPr>
                  </w:p>
                  <w:p>
                    <w:pPr>
                      <w:spacing w:before="0"/>
                      <w:ind w:left="1430" w:right="951" w:hanging="405"/>
                      <w:jc w:val="left"/>
                      <w:rPr>
                        <w:rFonts w:ascii="Century Gothic"/>
                        <w:b/>
                        <w:sz w:val="20"/>
                      </w:rPr>
                    </w:pPr>
                    <w:r>
                      <w:rPr>
                        <w:rFonts w:ascii="Century Gothic"/>
                        <w:b/>
                        <w:sz w:val="20"/>
                      </w:rPr>
                      <w:t>Chart 5: ACEs Scores 3-10 Washington State DOH, 2009-2011</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4"/>
                      <w:rPr>
                        <w:sz w:val="22"/>
                      </w:rPr>
                    </w:pPr>
                  </w:p>
                  <w:p>
                    <w:pPr>
                      <w:tabs>
                        <w:tab w:pos="1511" w:val="left" w:leader="none"/>
                        <w:tab w:pos="2049" w:val="left" w:leader="none"/>
                        <w:tab w:pos="2497" w:val="left" w:leader="none"/>
                        <w:tab w:pos="3035" w:val="left" w:leader="none"/>
                        <w:tab w:pos="3486" w:val="left" w:leader="none"/>
                      </w:tabs>
                      <w:spacing w:before="0"/>
                      <w:ind w:left="1061" w:right="0" w:firstLine="0"/>
                      <w:jc w:val="left"/>
                      <w:rPr>
                        <w:rFonts w:ascii="Century Gothic"/>
                        <w:b/>
                        <w:sz w:val="18"/>
                      </w:rPr>
                    </w:pPr>
                    <w:r>
                      <w:rPr>
                        <w:rFonts w:ascii="Century Gothic"/>
                        <w:b/>
                        <w:sz w:val="18"/>
                      </w:rPr>
                      <w:t>0</w:t>
                      <w:tab/>
                      <w:t>10</w:t>
                      <w:tab/>
                      <w:t>20</w:t>
                      <w:tab/>
                      <w:t>30</w:t>
                      <w:tab/>
                      <w:t>40</w:t>
                      <w:tab/>
                      <w:t>50</w:t>
                    </w:r>
                  </w:p>
                  <w:p>
                    <w:pPr>
                      <w:spacing w:before="119"/>
                      <w:ind w:left="1298" w:right="0" w:firstLine="0"/>
                      <w:jc w:val="left"/>
                      <w:rPr>
                        <w:rFonts w:ascii="Century Gothic"/>
                        <w:b/>
                        <w:sz w:val="18"/>
                      </w:rPr>
                    </w:pPr>
                    <w:r>
                      <w:rPr>
                        <w:rFonts w:ascii="Century Gothic"/>
                        <w:b/>
                        <w:sz w:val="18"/>
                      </w:rPr>
                      <w:t>Age-Adjusted Percent</w:t>
                    </w:r>
                  </w:p>
                </w:txbxContent>
              </v:textbox>
              <v:stroke dashstyle="solid"/>
              <w10:wrap type="none"/>
            </v:shape>
            <w10:wrap type="none"/>
          </v:group>
        </w:pict>
      </w:r>
      <w:r>
        <w:rPr>
          <w:rFonts w:ascii="Cambria" w:hAnsi="Cambria"/>
          <w:color w:val="252525"/>
          <w:sz w:val="22"/>
        </w:rPr>
        <w:t>resulting in premature mortality; see Diagram 1 for a visual</w:t>
      </w:r>
      <w:r>
        <w:rPr>
          <w:rFonts w:ascii="Cambria" w:hAnsi="Cambria"/>
          <w:color w:val="252525"/>
          <w:spacing w:val="-2"/>
          <w:sz w:val="22"/>
        </w:rPr>
        <w:t> </w:t>
      </w:r>
      <w:r>
        <w:rPr>
          <w:rFonts w:ascii="Cambria" w:hAnsi="Cambria"/>
          <w:color w:val="252525"/>
          <w:sz w:val="22"/>
        </w:rPr>
        <w:t>representation.</w:t>
      </w:r>
      <w:r>
        <w:rPr>
          <w:rFonts w:ascii="Cambria" w:hAnsi="Cambria"/>
          <w:color w:val="252525"/>
          <w:position w:val="5"/>
          <w:sz w:val="14"/>
        </w:rPr>
        <w:t>4</w:t>
      </w:r>
    </w:p>
    <w:p>
      <w:pPr>
        <w:pStyle w:val="BodyText"/>
        <w:spacing w:before="2"/>
        <w:rPr>
          <w:sz w:val="25"/>
        </w:rPr>
      </w:pPr>
    </w:p>
    <w:p>
      <w:pPr>
        <w:pStyle w:val="BodyText"/>
        <w:spacing w:line="276" w:lineRule="auto" w:before="1"/>
        <w:ind w:left="820" w:right="5464"/>
      </w:pPr>
      <w:r>
        <w:rPr>
          <w:color w:val="252525"/>
        </w:rPr>
        <w:t>Measured by a 10 question screening tool, ACEs are various forms of childhood trauma in the home, including emotional, physical, or sexual abuse; neglect; and other household challenges during childhood. The ACEs score has been used as a measure of cumulative exposure to traumatic stress in childhood. As shown in Chart 5, AI/AN adults reported nearly twice the rate of 3+ ACEs compared to non-Hispanic white adults.</w:t>
      </w:r>
      <w:r>
        <w:rPr>
          <w:color w:val="252525"/>
          <w:position w:val="5"/>
          <w:sz w:val="14"/>
        </w:rPr>
        <w:t>5 </w:t>
      </w:r>
      <w:r>
        <w:rPr>
          <w:color w:val="252525"/>
        </w:rPr>
        <w:t>These data mean that between 39 percent and 54 percent of AI/AN adults reported childhood exposure to 3 or more traumatic</w:t>
      </w:r>
    </w:p>
    <w:p>
      <w:pPr>
        <w:pStyle w:val="BodyText"/>
        <w:ind w:left="820"/>
      </w:pPr>
      <w:r>
        <w:rPr>
          <w:color w:val="252525"/>
        </w:rPr>
        <w:t>family stressors, compared to 26 percent of non-Hispanic white adults.</w:t>
      </w:r>
    </w:p>
    <w:p>
      <w:pPr>
        <w:pStyle w:val="BodyText"/>
        <w:spacing w:before="4"/>
        <w:rPr>
          <w:sz w:val="20"/>
        </w:rPr>
      </w:pPr>
    </w:p>
    <w:p>
      <w:pPr>
        <w:pStyle w:val="BodyText"/>
        <w:spacing w:line="276" w:lineRule="auto"/>
        <w:ind w:left="820" w:right="942"/>
      </w:pPr>
      <w:r>
        <w:rPr>
          <w:color w:val="252525"/>
        </w:rPr>
        <w:t>In AI/AN communities, these disparately high rates of adverse childhood experiences are a direct result of historical trauma, which becomes intergenerational trauma through repeating cycles of ACEs over generations. Historical trauma refers to situations where a community experienced traumatic events, the events generated high levels of collective distress, and the events were</w:t>
      </w:r>
    </w:p>
    <w:p>
      <w:pPr>
        <w:pStyle w:val="BodyText"/>
        <w:spacing w:before="10"/>
        <w:rPr>
          <w:sz w:val="28"/>
        </w:rPr>
      </w:pPr>
      <w:r>
        <w:rPr/>
        <w:pict>
          <v:line style="position:absolute;mso-position-horizontal-relative:page;mso-position-vertical-relative:paragraph;z-index:-544;mso-wrap-distance-left:0;mso-wrap-distance-right:0" from="72.024002pt,19.170288pt" to="216.044002pt,19.170288pt" stroked="true" strokeweight=".599980pt" strokecolor="#000000">
            <v:stroke dashstyle="solid"/>
            <w10:wrap type="topAndBottom"/>
          </v:line>
        </w:pict>
      </w:r>
    </w:p>
    <w:p>
      <w:pPr>
        <w:spacing w:before="64"/>
        <w:ind w:left="820" w:right="832" w:firstLine="0"/>
        <w:jc w:val="left"/>
        <w:rPr>
          <w:sz w:val="20"/>
        </w:rPr>
      </w:pPr>
      <w:r>
        <w:rPr>
          <w:position w:val="5"/>
          <w:sz w:val="13"/>
        </w:rPr>
        <w:t>4 </w:t>
      </w:r>
      <w:r>
        <w:rPr>
          <w:sz w:val="20"/>
        </w:rPr>
        <w:t>Felitti, V. J., Anda, R. F., Nordenberg, D., Williamson, D. F., Spitz, A. M., Edwards, V., &amp; Marks, J. S. (1998). Relationship of childhood abuse and household dysfunction to many of the leading causes of death in adults: The Adverse Childhood Experiences (ACE) study. </w:t>
      </w:r>
      <w:r>
        <w:rPr>
          <w:i/>
          <w:sz w:val="20"/>
        </w:rPr>
        <w:t>American Journal of Preventive Medicine</w:t>
      </w:r>
      <w:r>
        <w:rPr>
          <w:sz w:val="20"/>
        </w:rPr>
        <w:t>, </w:t>
      </w:r>
      <w:r>
        <w:rPr>
          <w:i/>
          <w:sz w:val="20"/>
        </w:rPr>
        <w:t>14</w:t>
      </w:r>
      <w:r>
        <w:rPr>
          <w:sz w:val="20"/>
        </w:rPr>
        <w:t>(4), 245-258.</w:t>
      </w:r>
    </w:p>
    <w:p>
      <w:pPr>
        <w:spacing w:after="0"/>
        <w:jc w:val="left"/>
        <w:rPr>
          <w:sz w:val="20"/>
        </w:rPr>
        <w:sectPr>
          <w:footerReference w:type="default" r:id="rId16"/>
          <w:pgSz w:w="12240" w:h="15840"/>
          <w:pgMar w:footer="1769" w:header="0" w:top="1360" w:bottom="1960" w:left="620" w:right="740"/>
          <w:pgNumType w:start="5"/>
        </w:sectPr>
      </w:pPr>
    </w:p>
    <w:p>
      <w:pPr>
        <w:pStyle w:val="BodyText"/>
        <w:spacing w:line="276" w:lineRule="auto" w:before="82"/>
        <w:ind w:left="820" w:right="769"/>
        <w:rPr>
          <w:sz w:val="14"/>
        </w:rPr>
      </w:pPr>
      <w:r>
        <w:rPr>
          <w:color w:val="252525"/>
        </w:rPr>
        <w:t>perpetuated by outsiders with a destructive or genocidal intent.</w:t>
      </w:r>
      <w:r>
        <w:rPr>
          <w:color w:val="252525"/>
          <w:position w:val="5"/>
          <w:sz w:val="14"/>
        </w:rPr>
        <w:t>6 </w:t>
      </w:r>
      <w:r>
        <w:rPr>
          <w:color w:val="252525"/>
        </w:rPr>
        <w:t>One of the challenges in comprehending the impacts of historical trauma is the term “historical;” when hearing the word, people tend to think of something in the past. The effects of historical trauma, however, manifest in the everyday experience of AI/AN communities today — in the ways they relate to one another, in their bodies, and in their daily thoughts. First studied in World War II holocaust survivors, historical trauma in AI/AN communities resulted from the legacy of genocide, a century of socio- cultural destruction through forced relocation and boarding schools, and continuing racial discrimination and socio-economic poverty.</w:t>
      </w:r>
      <w:r>
        <w:rPr>
          <w:color w:val="252525"/>
          <w:position w:val="5"/>
          <w:sz w:val="14"/>
        </w:rPr>
        <w:t>7</w:t>
      </w:r>
    </w:p>
    <w:p>
      <w:pPr>
        <w:pStyle w:val="BodyText"/>
        <w:spacing w:line="276" w:lineRule="auto" w:before="200"/>
        <w:ind w:left="820" w:right="923"/>
        <w:rPr>
          <w:sz w:val="14"/>
        </w:rPr>
      </w:pPr>
      <w:r>
        <w:rPr>
          <w:color w:val="252525"/>
        </w:rPr>
        <w:t>Responses to historical trauma at the individual level may include post-traumatic stress disorder, guilt, anxiety, grief, and depression. Responses at the familial level may include impaired family communication and stress around parenting.</w:t>
      </w:r>
      <w:r>
        <w:rPr>
          <w:color w:val="252525"/>
          <w:position w:val="5"/>
          <w:sz w:val="14"/>
        </w:rPr>
        <w:t>8 </w:t>
      </w:r>
      <w:r>
        <w:rPr>
          <w:color w:val="252525"/>
        </w:rPr>
        <w:t>The burdens of historical trauma weigh heavily on AI/AN youth, with 1 in 6 thinking daily or several times a day about loss of trust, family, and respect.</w:t>
      </w:r>
      <w:r>
        <w:rPr>
          <w:color w:val="252525"/>
          <w:position w:val="5"/>
          <w:sz w:val="14"/>
        </w:rPr>
        <w:t>9 </w:t>
      </w:r>
      <w:r>
        <w:rPr>
          <w:color w:val="252525"/>
        </w:rPr>
        <w:t>More recently, historical trauma has been found to have epigenetic impacts across generations, as historical trauma and ACEs alter gene expression that is then epigenetically transmitted to future generations.</w:t>
      </w:r>
      <w:r>
        <w:rPr>
          <w:color w:val="252525"/>
          <w:position w:val="5"/>
          <w:sz w:val="14"/>
        </w:rPr>
        <w:t>10</w:t>
      </w:r>
    </w:p>
    <w:p>
      <w:pPr>
        <w:pStyle w:val="Heading2"/>
        <w:spacing w:before="199"/>
      </w:pPr>
      <w:bookmarkStart w:name="_bookmark5" w:id="6"/>
      <w:bookmarkEnd w:id="6"/>
      <w:r>
        <w:rPr>
          <w:b w:val="0"/>
        </w:rPr>
      </w:r>
      <w:r>
        <w:rPr>
          <w:color w:val="CF9F52"/>
        </w:rPr>
        <w:t>Limitations of Evidence-Based Practices</w:t>
      </w:r>
    </w:p>
    <w:p>
      <w:pPr>
        <w:pStyle w:val="BodyText"/>
        <w:spacing w:line="276" w:lineRule="auto" w:before="195"/>
        <w:ind w:left="820" w:right="705"/>
      </w:pPr>
      <w:r>
        <w:rPr>
          <w:color w:val="252525"/>
        </w:rPr>
        <w:t>In the face of this historical/intergenerational trauma, adverse childhood experiences, and resulting health disparities, the quality of care that AI/ANs receive is “that much more important.”</w:t>
      </w:r>
      <w:r>
        <w:rPr>
          <w:color w:val="252525"/>
          <w:position w:val="5"/>
          <w:sz w:val="14"/>
        </w:rPr>
        <w:t>11 </w:t>
      </w:r>
      <w:r>
        <w:rPr>
          <w:color w:val="252525"/>
        </w:rPr>
        <w:t>Yet, few research-based and evidence-based practices (EBPs) have been tested in tribal communities. Those that have been developed from AI/AN communities can be expensive to implement and maintain.</w:t>
      </w:r>
    </w:p>
    <w:p>
      <w:pPr>
        <w:pStyle w:val="BodyText"/>
        <w:spacing w:line="276" w:lineRule="auto"/>
        <w:ind w:left="820" w:right="1163"/>
        <w:jc w:val="both"/>
      </w:pPr>
      <w:r>
        <w:rPr>
          <w:color w:val="252525"/>
        </w:rPr>
        <w:t>Moreover, the diversity of tribal communities can limit the efficacy of EBPs, particularly if they were normed in such a way as to be particular to some tribal communities and cultures but not others.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r>
        <w:rPr/>
        <w:pict>
          <v:line style="position:absolute;mso-position-horizontal-relative:page;mso-position-vertical-relative:paragraph;z-index:-424;mso-wrap-distance-left:0;mso-wrap-distance-right:0" from="72.024002pt,15.567012pt" to="216.044002pt,15.567012pt" stroked="true" strokeweight=".599980pt" strokecolor="#000000">
            <v:stroke dashstyle="solid"/>
            <w10:wrap type="topAndBottom"/>
          </v:line>
        </w:pict>
      </w:r>
    </w:p>
    <w:p>
      <w:pPr>
        <w:spacing w:before="64"/>
        <w:ind w:left="820" w:right="695" w:firstLine="0"/>
        <w:jc w:val="left"/>
        <w:rPr>
          <w:sz w:val="20"/>
        </w:rPr>
      </w:pPr>
      <w:r>
        <w:rPr>
          <w:position w:val="5"/>
          <w:sz w:val="13"/>
        </w:rPr>
        <w:t>6 </w:t>
      </w:r>
      <w:r>
        <w:rPr>
          <w:sz w:val="20"/>
        </w:rPr>
        <w:t>Evans-Campbell, T. (2008). Historical trauma in American Indian/Native Alaska communities: A framework for exploring impacts on, individuals, families, and communities. </w:t>
      </w:r>
      <w:r>
        <w:rPr>
          <w:i/>
          <w:sz w:val="20"/>
        </w:rPr>
        <w:t>Journal of Interpersonal Violence</w:t>
      </w:r>
      <w:r>
        <w:rPr>
          <w:sz w:val="20"/>
        </w:rPr>
        <w:t>, </w:t>
      </w:r>
      <w:r>
        <w:rPr>
          <w:i/>
          <w:sz w:val="20"/>
        </w:rPr>
        <w:t>23</w:t>
      </w:r>
      <w:r>
        <w:rPr>
          <w:sz w:val="20"/>
        </w:rPr>
        <w:t>(3), 316– 338.</w:t>
      </w:r>
    </w:p>
    <w:p>
      <w:pPr>
        <w:spacing w:before="0"/>
        <w:ind w:left="820" w:right="889" w:firstLine="0"/>
        <w:jc w:val="left"/>
        <w:rPr>
          <w:sz w:val="20"/>
        </w:rPr>
      </w:pPr>
      <w:r>
        <w:rPr>
          <w:position w:val="5"/>
          <w:sz w:val="13"/>
        </w:rPr>
        <w:t>7 </w:t>
      </w:r>
      <w:r>
        <w:rPr>
          <w:sz w:val="20"/>
        </w:rPr>
        <w:t>Wesley-Esquimaux, C. C., &amp; Smolewski, M. (2004). </w:t>
      </w:r>
      <w:r>
        <w:rPr>
          <w:i/>
          <w:sz w:val="20"/>
        </w:rPr>
        <w:t>Historic trauma and Aboriginal healing</w:t>
      </w:r>
      <w:r>
        <w:rPr>
          <w:sz w:val="20"/>
        </w:rPr>
        <w:t>. Ottawa, Ontario: Aboriginal Healing Foundation.</w:t>
      </w:r>
    </w:p>
    <w:p>
      <w:pPr>
        <w:spacing w:before="1"/>
        <w:ind w:left="820" w:right="911" w:firstLine="0"/>
        <w:jc w:val="left"/>
        <w:rPr>
          <w:sz w:val="20"/>
        </w:rPr>
      </w:pPr>
      <w:r>
        <w:rPr>
          <w:position w:val="5"/>
          <w:sz w:val="13"/>
        </w:rPr>
        <w:t>8 </w:t>
      </w:r>
      <w:r>
        <w:rPr>
          <w:sz w:val="20"/>
        </w:rPr>
        <w:t>Yellow Horse Brave Heart, M., &amp; DeBruyn, L. M. (1998). The American Indian holocaust: Healing historical, unresolved grief. </w:t>
      </w:r>
      <w:r>
        <w:rPr>
          <w:i/>
          <w:sz w:val="20"/>
        </w:rPr>
        <w:t>American Indian and Alaska Native Mental Health Research</w:t>
      </w:r>
      <w:r>
        <w:rPr>
          <w:sz w:val="20"/>
        </w:rPr>
        <w:t>, 8, 56–78.</w:t>
      </w:r>
    </w:p>
    <w:p>
      <w:pPr>
        <w:spacing w:before="0"/>
        <w:ind w:left="820" w:right="964" w:firstLine="0"/>
        <w:jc w:val="left"/>
        <w:rPr>
          <w:sz w:val="20"/>
        </w:rPr>
      </w:pPr>
      <w:r>
        <w:rPr>
          <w:position w:val="5"/>
          <w:sz w:val="13"/>
        </w:rPr>
        <w:t>9 </w:t>
      </w:r>
      <w:r>
        <w:rPr>
          <w:sz w:val="20"/>
        </w:rPr>
        <w:t>Whitbeck, L.B., Walls, M.L, Johnson, K.D., Morrisseau, A.D., &amp; McDougall, C.M. (2009). Depressed affect and historical loss among North American indigenous adolescents. </w:t>
      </w:r>
      <w:r>
        <w:rPr>
          <w:i/>
          <w:sz w:val="20"/>
        </w:rPr>
        <w:t>American Indian and Alaska Native Mental </w:t>
      </w:r>
      <w:r>
        <w:rPr>
          <w:i/>
          <w:sz w:val="20"/>
        </w:rPr>
        <w:t>Health Research</w:t>
      </w:r>
      <w:r>
        <w:rPr>
          <w:sz w:val="20"/>
        </w:rPr>
        <w:t>, </w:t>
      </w:r>
      <w:r>
        <w:rPr>
          <w:i/>
          <w:sz w:val="20"/>
        </w:rPr>
        <w:t>16</w:t>
      </w:r>
      <w:r>
        <w:rPr>
          <w:sz w:val="20"/>
        </w:rPr>
        <w:t>(3), 16-49.</w:t>
      </w:r>
    </w:p>
    <w:p>
      <w:pPr>
        <w:spacing w:before="0"/>
        <w:ind w:left="820" w:right="778" w:firstLine="0"/>
        <w:jc w:val="left"/>
        <w:rPr>
          <w:sz w:val="20"/>
        </w:rPr>
      </w:pPr>
      <w:r>
        <w:rPr>
          <w:position w:val="5"/>
          <w:sz w:val="13"/>
        </w:rPr>
        <w:t>10 </w:t>
      </w:r>
      <w:r>
        <w:rPr>
          <w:sz w:val="20"/>
        </w:rPr>
        <w:t>See, e.g., Kuzawa, C.W., &amp; Sweet, E. (2009). Epigenetics and the embodiment of race: Developmental origins of U.S. racial disparities in cardiovascular health. </w:t>
      </w:r>
      <w:r>
        <w:rPr>
          <w:i/>
          <w:sz w:val="20"/>
        </w:rPr>
        <w:t>American Journal of Human Biology</w:t>
      </w:r>
      <w:r>
        <w:rPr>
          <w:sz w:val="20"/>
        </w:rPr>
        <w:t>, </w:t>
      </w:r>
      <w:r>
        <w:rPr>
          <w:i/>
          <w:sz w:val="20"/>
        </w:rPr>
        <w:t>21</w:t>
      </w:r>
      <w:r>
        <w:rPr>
          <w:sz w:val="20"/>
        </w:rPr>
        <w:t>(1):2–15; Bird, A. (2007). Perceptions of epigenetics. </w:t>
      </w:r>
      <w:r>
        <w:rPr>
          <w:i/>
          <w:sz w:val="20"/>
        </w:rPr>
        <w:t>Nature</w:t>
      </w:r>
      <w:r>
        <w:rPr>
          <w:sz w:val="20"/>
        </w:rPr>
        <w:t>, </w:t>
      </w:r>
      <w:r>
        <w:rPr>
          <w:i/>
          <w:sz w:val="20"/>
        </w:rPr>
        <w:t>447</w:t>
      </w:r>
      <w:r>
        <w:rPr>
          <w:sz w:val="20"/>
        </w:rPr>
        <w:t>, 396–398.</w:t>
      </w:r>
    </w:p>
    <w:p>
      <w:pPr>
        <w:spacing w:before="0"/>
        <w:ind w:left="820" w:right="1318" w:firstLine="0"/>
        <w:jc w:val="left"/>
        <w:rPr>
          <w:sz w:val="20"/>
        </w:rPr>
      </w:pPr>
      <w:r>
        <w:rPr>
          <w:position w:val="5"/>
          <w:sz w:val="13"/>
        </w:rPr>
        <w:t>11 </w:t>
      </w:r>
      <w:r>
        <w:rPr>
          <w:sz w:val="20"/>
        </w:rPr>
        <w:t>Washington Health Alliance. (2014). </w:t>
      </w:r>
      <w:r>
        <w:rPr>
          <w:i/>
          <w:sz w:val="20"/>
        </w:rPr>
        <w:t>Disparities in care 2014 report</w:t>
      </w:r>
      <w:r>
        <w:rPr>
          <w:sz w:val="20"/>
        </w:rPr>
        <w:t>. Seattle, Washington. Available at https://wahealthalliance.org/alliance-reports-websites/alliance-reports/</w:t>
      </w:r>
    </w:p>
    <w:p>
      <w:pPr>
        <w:spacing w:after="0"/>
        <w:jc w:val="left"/>
        <w:rPr>
          <w:sz w:val="20"/>
        </w:rPr>
        <w:sectPr>
          <w:footerReference w:type="default" r:id="rId19"/>
          <w:pgSz w:w="12240" w:h="15840"/>
          <w:pgMar w:footer="1277" w:header="0" w:top="1360" w:bottom="1460" w:left="620" w:right="740"/>
          <w:pgNumType w:start="6"/>
        </w:sectPr>
      </w:pPr>
    </w:p>
    <w:p>
      <w:pPr>
        <w:pStyle w:val="BodyText"/>
        <w:spacing w:line="276" w:lineRule="auto" w:before="82"/>
        <w:ind w:left="820" w:right="703"/>
      </w:pPr>
      <w:r>
        <w:rPr>
          <w:color w:val="252525"/>
        </w:rPr>
        <w:t>Due to this diversity of tribal communities and cultures, the only way to ensure a high quality of services is through direct interaction with tribes and AI/AN communities to ensure the practices are culturally appropriate.</w:t>
      </w:r>
      <w:r>
        <w:rPr>
          <w:color w:val="252525"/>
          <w:position w:val="5"/>
          <w:sz w:val="14"/>
        </w:rPr>
        <w:t>12 </w:t>
      </w:r>
      <w:r>
        <w:rPr>
          <w:color w:val="252525"/>
        </w:rPr>
        <w:t>This is true whether the practices are EBPs or promising practices, because culture mediates health care.</w:t>
      </w:r>
      <w:r>
        <w:rPr>
          <w:color w:val="252525"/>
          <w:position w:val="5"/>
          <w:sz w:val="14"/>
        </w:rPr>
        <w:t>13 </w:t>
      </w:r>
      <w:r>
        <w:rPr>
          <w:color w:val="252525"/>
        </w:rPr>
        <w:t>For example, </w:t>
      </w:r>
      <w:r>
        <w:rPr/>
        <w:t>AI/AN cultures have a holistic and relationship-oriented view of health and well-being. As a result, treatments that focus only on parts of the individual without working on healing the family and the spirit will likely not be successful — even when they are evidence-based.</w:t>
      </w:r>
      <w:r>
        <w:rPr>
          <w:position w:val="5"/>
          <w:sz w:val="14"/>
        </w:rPr>
        <w:t>14 </w:t>
      </w:r>
      <w:r>
        <w:rPr>
          <w:color w:val="252525"/>
        </w:rPr>
        <w:t>Without the flexibility to adapt EBPs or to implement promising practices, EBPs are likely to result in poor health outcomes</w:t>
      </w:r>
      <w:r>
        <w:rPr/>
        <w:t>. The only EBPs that are likely to result in better health outcomes are those based on the specific tribal</w:t>
      </w:r>
      <w:r>
        <w:rPr>
          <w:spacing w:val="-15"/>
        </w:rPr>
        <w:t> </w:t>
      </w:r>
      <w:r>
        <w:rPr/>
        <w:t>community.</w:t>
      </w:r>
    </w:p>
    <w:p>
      <w:pPr>
        <w:pStyle w:val="Heading2"/>
        <w:spacing w:before="200"/>
      </w:pPr>
      <w:bookmarkStart w:name="_bookmark6" w:id="7"/>
      <w:bookmarkEnd w:id="7"/>
      <w:r>
        <w:rPr>
          <w:b w:val="0"/>
        </w:rPr>
      </w:r>
      <w:r>
        <w:rPr>
          <w:color w:val="CF9F52"/>
        </w:rPr>
        <w:t>Examples of Proven Practices</w:t>
      </w:r>
    </w:p>
    <w:p>
      <w:pPr>
        <w:pStyle w:val="BodyText"/>
        <w:spacing w:line="276" w:lineRule="auto" w:before="193"/>
        <w:ind w:left="820" w:right="786"/>
      </w:pPr>
      <w:r>
        <w:rPr/>
        <w:t>Family Spirit</w:t>
      </w:r>
      <w:r>
        <w:rPr>
          <w:position w:val="5"/>
          <w:sz w:val="14"/>
        </w:rPr>
        <w:t>15 </w:t>
      </w:r>
      <w:r>
        <w:rPr/>
        <w:t>is a culturally tailored, evidence-based home-visiting model used by more than 100 tribal communities across the nation. This model addresses intergenerational behavioral health problems, applies local cultural assets, and overcomes deficits in the professional healthcare workforce in low-resource communities. Designed for, by, and with </w:t>
      </w:r>
      <w:r>
        <w:rPr>
          <w:color w:val="252525"/>
        </w:rPr>
        <w:t>AI/AN </w:t>
      </w:r>
      <w:r>
        <w:rPr/>
        <w:t>families, community- based paraprofessionals deliver culturally appropriate, behaviorally-focused interventions to support young parents from pregnancy through three years post-partum. A tribal community can link this program to other programs, such as Women, Infants, and Children (WIC), behavioral health, Head Start, Indian Child Welfare, domestic violence intervention, and substance use disorder programs.</w:t>
      </w:r>
    </w:p>
    <w:p>
      <w:pPr>
        <w:pStyle w:val="BodyText"/>
        <w:spacing w:line="276" w:lineRule="auto" w:before="202"/>
        <w:ind w:left="820" w:right="688"/>
      </w:pPr>
      <w:r>
        <w:rPr/>
        <w:t>Pulling Together for Wellness</w:t>
      </w:r>
      <w:r>
        <w:rPr>
          <w:position w:val="5"/>
          <w:sz w:val="14"/>
        </w:rPr>
        <w:t>16 </w:t>
      </w:r>
      <w:r>
        <w:rPr/>
        <w:t>is a comprehensive, culturally-grounded prevention framework based on a policy, systems, and environmental change approach. The framework was co-designed through the guidance of Washington tribal and urban Indian leaders with input from elders, youth, students, communities, program staff, and public health specialists. It adapts evidence-based practice by integrating western science and native ways of thinking. The approach uses the medicine wheel model — a holistic view of health including emotional, social, physical, and spiritual health. It honors the native values of the particular community seeking change, using a culturally appropriate and community-specific process to engage multiple sectors, including community members, in decision making. The Shoalwater Bay Indian Tribe adopted this framework to improve the health of tribal members for seven generations by embracing the traditions of their ancestors to</w:t>
      </w:r>
    </w:p>
    <w:p>
      <w:pPr>
        <w:pStyle w:val="BodyText"/>
        <w:rPr>
          <w:sz w:val="20"/>
        </w:rPr>
      </w:pPr>
    </w:p>
    <w:p>
      <w:pPr>
        <w:pStyle w:val="BodyText"/>
        <w:spacing w:before="9"/>
        <w:rPr>
          <w:sz w:val="28"/>
        </w:rPr>
      </w:pPr>
      <w:r>
        <w:rPr/>
        <w:pict>
          <v:line style="position:absolute;mso-position-horizontal-relative:page;mso-position-vertical-relative:paragraph;z-index:-400;mso-wrap-distance-left:0;mso-wrap-distance-right:0" from="72.024002pt,19.112803pt" to="216.044002pt,19.112803pt" stroked="true" strokeweight=".599980pt" strokecolor="#000000">
            <v:stroke dashstyle="solid"/>
            <w10:wrap type="topAndBottom"/>
          </v:line>
        </w:pict>
      </w:r>
    </w:p>
    <w:p>
      <w:pPr>
        <w:spacing w:before="66"/>
        <w:ind w:left="820" w:right="1235" w:firstLine="0"/>
        <w:jc w:val="left"/>
        <w:rPr>
          <w:sz w:val="20"/>
        </w:rPr>
      </w:pPr>
      <w:r>
        <w:rPr>
          <w:position w:val="5"/>
          <w:sz w:val="13"/>
        </w:rPr>
        <w:t>12 </w:t>
      </w:r>
      <w:r>
        <w:rPr>
          <w:sz w:val="20"/>
        </w:rPr>
        <w:t>Woolf, S., Grol, R., Hutchinson, A., Eccles, M., &amp; Grimshaw, J. (1999). Potential benefits, limitations, and harms of clinical guidelines. </w:t>
      </w:r>
      <w:r>
        <w:rPr>
          <w:i/>
          <w:sz w:val="20"/>
        </w:rPr>
        <w:t>BMJ</w:t>
      </w:r>
      <w:r>
        <w:rPr>
          <w:sz w:val="20"/>
        </w:rPr>
        <w:t>, </w:t>
      </w:r>
      <w:r>
        <w:rPr>
          <w:i/>
          <w:sz w:val="20"/>
        </w:rPr>
        <w:t>318</w:t>
      </w:r>
      <w:r>
        <w:rPr>
          <w:sz w:val="20"/>
        </w:rPr>
        <w:t>(7182).</w:t>
      </w:r>
    </w:p>
    <w:p>
      <w:pPr>
        <w:spacing w:before="0"/>
        <w:ind w:left="820" w:right="746" w:firstLine="0"/>
        <w:jc w:val="left"/>
        <w:rPr>
          <w:sz w:val="20"/>
        </w:rPr>
      </w:pPr>
      <w:r>
        <w:rPr>
          <w:position w:val="5"/>
          <w:sz w:val="13"/>
        </w:rPr>
        <w:t>13 </w:t>
      </w:r>
      <w:r>
        <w:rPr>
          <w:sz w:val="20"/>
        </w:rPr>
        <w:t>Kleinman, A., Eisenberg, L., &amp; Good, B. (1978). Culture, illness and care: Clinical Lessons from anthropologic and cross-cultural research. </w:t>
      </w:r>
      <w:r>
        <w:rPr>
          <w:i/>
          <w:sz w:val="20"/>
        </w:rPr>
        <w:t>Annals of Internal Medicine</w:t>
      </w:r>
      <w:r>
        <w:rPr>
          <w:sz w:val="20"/>
        </w:rPr>
        <w:t>, </w:t>
      </w:r>
      <w:r>
        <w:rPr>
          <w:i/>
          <w:sz w:val="20"/>
        </w:rPr>
        <w:t>88</w:t>
      </w:r>
      <w:r>
        <w:rPr>
          <w:sz w:val="20"/>
        </w:rPr>
        <w:t>, 251-258.</w:t>
      </w:r>
    </w:p>
    <w:p>
      <w:pPr>
        <w:spacing w:before="0"/>
        <w:ind w:left="820" w:right="885" w:firstLine="0"/>
        <w:jc w:val="left"/>
        <w:rPr>
          <w:sz w:val="20"/>
        </w:rPr>
      </w:pPr>
      <w:r>
        <w:rPr>
          <w:position w:val="5"/>
          <w:sz w:val="13"/>
        </w:rPr>
        <w:t>14 </w:t>
      </w:r>
      <w:r>
        <w:rPr>
          <w:sz w:val="20"/>
        </w:rPr>
        <w:t>Larios, S., Wright, S., Jernstrom, A., Lebron, D., &amp; Sorensen, J. (2011). Evidence-based practices, attitudes, and beliefs in substance abuse treatment programs serving American Indians and Alaska Natives: A qualitative study. </w:t>
      </w:r>
      <w:r>
        <w:rPr>
          <w:i/>
          <w:sz w:val="20"/>
        </w:rPr>
        <w:t>Journal of Psychoactive Drugs</w:t>
      </w:r>
      <w:r>
        <w:rPr>
          <w:sz w:val="20"/>
        </w:rPr>
        <w:t>, </w:t>
      </w:r>
      <w:r>
        <w:rPr>
          <w:i/>
          <w:sz w:val="20"/>
        </w:rPr>
        <w:t>43</w:t>
      </w:r>
      <w:r>
        <w:rPr>
          <w:sz w:val="20"/>
        </w:rPr>
        <w:t>(4), 355-359.</w:t>
      </w:r>
    </w:p>
    <w:p>
      <w:pPr>
        <w:spacing w:before="0"/>
        <w:ind w:left="820" w:right="879" w:firstLine="0"/>
        <w:jc w:val="left"/>
        <w:rPr>
          <w:sz w:val="20"/>
        </w:rPr>
      </w:pPr>
      <w:r>
        <w:rPr>
          <w:position w:val="5"/>
          <w:sz w:val="13"/>
        </w:rPr>
        <w:t>15 </w:t>
      </w:r>
      <w:r>
        <w:rPr>
          <w:sz w:val="20"/>
        </w:rPr>
        <w:t>Johns Hopkins University, Center for American Indian Health. (2018). </w:t>
      </w:r>
      <w:r>
        <w:rPr>
          <w:i/>
          <w:sz w:val="20"/>
        </w:rPr>
        <w:t>Family spirit home visiting program</w:t>
      </w:r>
      <w:r>
        <w:rPr>
          <w:sz w:val="20"/>
        </w:rPr>
        <w:t>. Available at </w:t>
      </w:r>
      <w:hyperlink r:id="rId20">
        <w:r>
          <w:rPr>
            <w:sz w:val="20"/>
          </w:rPr>
          <w:t>http://caih.jhu.edu/programs/family-spirit/</w:t>
        </w:r>
      </w:hyperlink>
    </w:p>
    <w:p>
      <w:pPr>
        <w:spacing w:before="0"/>
        <w:ind w:left="820" w:right="786" w:firstLine="0"/>
        <w:jc w:val="left"/>
        <w:rPr>
          <w:sz w:val="20"/>
        </w:rPr>
      </w:pPr>
      <w:r>
        <w:rPr>
          <w:position w:val="5"/>
          <w:sz w:val="13"/>
        </w:rPr>
        <w:t>16 </w:t>
      </w:r>
      <w:r>
        <w:rPr>
          <w:sz w:val="20"/>
        </w:rPr>
        <w:t>American Indian Health Commission for Washington State. (2018). </w:t>
      </w:r>
      <w:r>
        <w:rPr>
          <w:i/>
          <w:sz w:val="20"/>
        </w:rPr>
        <w:t>Pulling together for wellness</w:t>
      </w:r>
      <w:r>
        <w:rPr>
          <w:sz w:val="20"/>
        </w:rPr>
        <w:t>, Available at https://aihc-wa.com/pulling-together-for-wellness/</w:t>
      </w:r>
    </w:p>
    <w:p>
      <w:pPr>
        <w:spacing w:after="0"/>
        <w:jc w:val="left"/>
        <w:rPr>
          <w:sz w:val="20"/>
        </w:rPr>
        <w:sectPr>
          <w:pgSz w:w="12240" w:h="15840"/>
          <w:pgMar w:header="0" w:footer="1277" w:top="1360" w:bottom="1540" w:left="620" w:right="740"/>
        </w:sectPr>
      </w:pPr>
    </w:p>
    <w:p>
      <w:pPr>
        <w:pStyle w:val="BodyText"/>
        <w:spacing w:line="278" w:lineRule="auto" w:before="82"/>
        <w:ind w:left="820" w:right="901"/>
      </w:pPr>
      <w:r>
        <w:rPr/>
        <w:t>change the norm. In recognition of their successful implementation, the Tribe received the Robert Wood Johnson Foundation Culture of Health prize in 2016.</w:t>
      </w:r>
    </w:p>
    <w:p>
      <w:pPr>
        <w:pStyle w:val="BodyText"/>
        <w:spacing w:line="276" w:lineRule="auto" w:before="196"/>
        <w:ind w:left="820" w:right="715"/>
      </w:pPr>
      <w:r>
        <w:rPr/>
        <w:t>The Healing of the Canoe Project</w:t>
      </w:r>
      <w:r>
        <w:rPr>
          <w:position w:val="5"/>
          <w:sz w:val="14"/>
        </w:rPr>
        <w:t>17 </w:t>
      </w:r>
      <w:r>
        <w:rPr/>
        <w:t>is a collaborative project between the Suquamish Tribe, the Port Gamble S’Klallam Tribe, and the Alcohol and Drug Abuse Institute at the University of Washington. Suquamish and Port Gamble S’Klallam both identified the prevention of youth substance abuse and the need for a sense of cultural belonging and cultural revitalization among youth as primary issues of community concern. The Healing of the Canoe partnership has sought to address these issues through a community based, culturally grounded prevention and intervention life skills curriculum for tribal youth that builds on the community’s strengths and resources The Culturally Grounded Life Skills for Youth Curriculum uses the Canoe Journey as a metaphor, providing youth the skills needed to navigate their journey through life without being pulled off course by alcohol or drugs — with tribal culture, tradition, and values as a compass to guide them, and an anchor to ground them. One key element of this program’s success is the ability to adapt the Healing of the Canoe Project to different tribal communities and cultures.</w:t>
      </w:r>
    </w:p>
    <w:p>
      <w:pPr>
        <w:pStyle w:val="BodyText"/>
        <w:spacing w:line="276" w:lineRule="auto" w:before="200"/>
        <w:ind w:left="820" w:right="686"/>
      </w:pPr>
      <w:r>
        <w:rPr/>
        <w:t>Nuka System of Care</w:t>
      </w:r>
      <w:r>
        <w:rPr>
          <w:position w:val="5"/>
          <w:sz w:val="14"/>
        </w:rPr>
        <w:t>18 </w:t>
      </w:r>
      <w:r>
        <w:rPr/>
        <w:t>is a whole health care system (medical, dental, behavioral, traditional, and health care support services) based on the recognition that the relationship between the primary care team and the client (also known as the customer-owner) as the single most important tool in managing chronic disease, controlling health care costs, and improving the overall wellness of a population. Recognizing that individuals are ultimately in control of their own lifestyle choices and health care decisions, Nuka focuses on understanding each customer-owner’s unique story, values, and influencers, in an effort to engage them in their care and support long-term behavior change. Nuka also focuses on growing health professionals — encouraging medical assistants to become registered nurses, nurses to become advanced registered nurse practitioners (ARNPs), and ARNPs to become physicians through education scholarships. In recognition of their success with Nuka, the Southcentral Foundation received the Malcolm Baldridge National Quality Award in 2011 and 2017.</w:t>
      </w:r>
    </w:p>
    <w:p>
      <w:pPr>
        <w:pStyle w:val="BodyText"/>
        <w:spacing w:line="276" w:lineRule="auto" w:before="201"/>
        <w:ind w:left="820"/>
      </w:pPr>
      <w:r>
        <w:rPr/>
        <w:t>Wisdom Warriors</w:t>
      </w:r>
      <w:r>
        <w:rPr>
          <w:position w:val="5"/>
          <w:sz w:val="14"/>
        </w:rPr>
        <w:t>19 </w:t>
      </w:r>
      <w:r>
        <w:rPr/>
        <w:t>is a chronic disease prevention and control program that provides tribal elders education and tools to make healthier lifestyle choices. The Northwest Regional Council and the Administration for Community Living partnered with Washington tribes to locally adapt the</w:t>
      </w:r>
    </w:p>
    <w:p>
      <w:pPr>
        <w:pStyle w:val="BodyText"/>
        <w:spacing w:line="276" w:lineRule="auto"/>
        <w:ind w:left="820" w:right="980"/>
      </w:pPr>
      <w:r>
        <w:rPr/>
        <w:t>Minnesota tribes’ Wisdom Steps program.</w:t>
      </w:r>
      <w:r>
        <w:rPr>
          <w:position w:val="5"/>
          <w:sz w:val="14"/>
        </w:rPr>
        <w:t>20 </w:t>
      </w:r>
      <w:r>
        <w:rPr/>
        <w:t>It incorporates the Stanford chronic disease self- management model using culturally appropriate incentives for making positive lifestyle changes. Tribal elders practice good preventive health by having health screenings and participating in healthy living activities. The National Indian Health Board has recognized this program, and the Department of Health has stated that it has been instrumental to falls prevention.</w:t>
      </w: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376;mso-wrap-distance-left:0;mso-wrap-distance-right:0" from="72.024002pt,10.901772pt" to="216.044002pt,10.901772pt" stroked="true" strokeweight=".599980pt" strokecolor="#000000">
            <v:stroke dashstyle="solid"/>
            <w10:wrap type="topAndBottom"/>
          </v:line>
        </w:pict>
      </w:r>
    </w:p>
    <w:p>
      <w:pPr>
        <w:spacing w:before="64"/>
        <w:ind w:left="820" w:right="0" w:firstLine="0"/>
        <w:jc w:val="left"/>
        <w:rPr>
          <w:sz w:val="20"/>
        </w:rPr>
      </w:pPr>
      <w:r>
        <w:rPr>
          <w:position w:val="5"/>
          <w:sz w:val="13"/>
        </w:rPr>
        <w:t>17 </w:t>
      </w:r>
      <w:r>
        <w:rPr>
          <w:sz w:val="20"/>
        </w:rPr>
        <w:t>Healing of the Canoe. (2018). Available at </w:t>
      </w:r>
      <w:hyperlink r:id="rId21">
        <w:r>
          <w:rPr>
            <w:sz w:val="20"/>
          </w:rPr>
          <w:t>http://healingofthecanoe.org/</w:t>
        </w:r>
      </w:hyperlink>
    </w:p>
    <w:p>
      <w:pPr>
        <w:spacing w:line="234" w:lineRule="exact" w:before="1"/>
        <w:ind w:left="820" w:right="0" w:firstLine="0"/>
        <w:jc w:val="left"/>
        <w:rPr>
          <w:sz w:val="20"/>
        </w:rPr>
      </w:pPr>
      <w:r>
        <w:rPr>
          <w:position w:val="5"/>
          <w:sz w:val="13"/>
        </w:rPr>
        <w:t>18 </w:t>
      </w:r>
      <w:r>
        <w:rPr>
          <w:sz w:val="20"/>
        </w:rPr>
        <w:t>Nuka System of Care, Southcentral Foundation (2018). Available at https://scfnuka.com/</w:t>
      </w:r>
    </w:p>
    <w:p>
      <w:pPr>
        <w:spacing w:before="0"/>
        <w:ind w:left="820" w:right="1725" w:firstLine="0"/>
        <w:jc w:val="left"/>
        <w:rPr>
          <w:sz w:val="20"/>
        </w:rPr>
      </w:pPr>
      <w:r>
        <w:rPr>
          <w:position w:val="5"/>
          <w:sz w:val="13"/>
        </w:rPr>
        <w:t>19 </w:t>
      </w:r>
      <w:r>
        <w:rPr>
          <w:sz w:val="20"/>
        </w:rPr>
        <w:t>Northwest Regional Council. (2013). Wisdom Warriors: Living Wise…Living Strong. Available at https://</w:t>
      </w:r>
      <w:hyperlink r:id="rId22">
        <w:r>
          <w:rPr>
            <w:sz w:val="20"/>
          </w:rPr>
          <w:t>www.ncoa.org/wp-content/uploads/WA-Wisdom-Warriors-description-2013.pdf</w:t>
        </w:r>
      </w:hyperlink>
    </w:p>
    <w:p>
      <w:pPr>
        <w:spacing w:before="0"/>
        <w:ind w:left="820" w:right="2905" w:firstLine="0"/>
        <w:jc w:val="left"/>
        <w:rPr>
          <w:sz w:val="20"/>
        </w:rPr>
      </w:pPr>
      <w:r>
        <w:rPr>
          <w:position w:val="5"/>
          <w:sz w:val="13"/>
        </w:rPr>
        <w:t>20 </w:t>
      </w:r>
      <w:r>
        <w:rPr>
          <w:sz w:val="20"/>
        </w:rPr>
        <w:t>Wisdom Steps: Preventive Health for American Indian Elders. (2013). Available at https://wisdomsteps.org/</w:t>
      </w:r>
    </w:p>
    <w:p>
      <w:pPr>
        <w:spacing w:after="0"/>
        <w:jc w:val="left"/>
        <w:rPr>
          <w:sz w:val="20"/>
        </w:rPr>
        <w:sectPr>
          <w:pgSz w:w="12240" w:h="15840"/>
          <w:pgMar w:header="0" w:footer="1277" w:top="1360" w:bottom="1540" w:left="620" w:right="740"/>
        </w:sectPr>
      </w:pPr>
    </w:p>
    <w:p>
      <w:pPr>
        <w:pStyle w:val="BodyText"/>
        <w:spacing w:line="276" w:lineRule="auto" w:before="82"/>
        <w:ind w:left="820" w:right="997"/>
      </w:pPr>
      <w:r>
        <w:rPr/>
        <w:t>A Gathering of Wisdoms</w:t>
      </w:r>
      <w:r>
        <w:rPr>
          <w:position w:val="5"/>
          <w:sz w:val="14"/>
        </w:rPr>
        <w:t>21 </w:t>
      </w:r>
      <w:r>
        <w:rPr/>
        <w:t>is a culturally and spiritually informed behavioral health counseling model. Mental health providers of the Swinomish Indian Tribal Community and the Upper Skagit Tribe cooperatively developed the program with input from tribal elders. This counseling model draws from traditional Indian healing.</w:t>
      </w:r>
    </w:p>
    <w:p>
      <w:pPr>
        <w:pStyle w:val="Heading2"/>
        <w:spacing w:before="200"/>
      </w:pPr>
      <w:bookmarkStart w:name="_bookmark7" w:id="8"/>
      <w:bookmarkEnd w:id="8"/>
      <w:r>
        <w:rPr>
          <w:b w:val="0"/>
        </w:rPr>
      </w:r>
      <w:r>
        <w:rPr>
          <w:color w:val="CF9F52"/>
        </w:rPr>
        <w:t>Barriers</w:t>
      </w:r>
    </w:p>
    <w:p>
      <w:pPr>
        <w:pStyle w:val="BodyText"/>
        <w:spacing w:line="276" w:lineRule="auto" w:before="193"/>
        <w:ind w:left="820" w:right="727"/>
      </w:pPr>
      <w:r>
        <w:rPr>
          <w:color w:val="252525"/>
        </w:rPr>
        <w:t>Tribes and other Indian health care providers experience many barriers to providing culturally appropriate care. Burdensome reporting requirements and reimbursement processes impose administrative hurdles to financing and sustainability. Poor access to broadband internet and outdated computer and information systems interfere with the ability to use technology to improve care and to remotely report home care treatment hours on-site. All tribes and other Indian health care providers are considered health professional shortage areas, reflecting the challenges of recruiting and retaining health care professionals. Various loan repayment and forgiveness programs for health care professionals have mitigated — but not solved — the shortage of health care professionals at tribes and other Indian health care providers.</w:t>
      </w:r>
    </w:p>
    <w:p>
      <w:pPr>
        <w:pStyle w:val="BodyText"/>
        <w:spacing w:line="273" w:lineRule="auto" w:before="202"/>
        <w:ind w:left="820" w:right="766"/>
      </w:pPr>
      <w:r>
        <w:rPr>
          <w:color w:val="252525"/>
        </w:rPr>
        <w:t>A bigger barrier — perhaps the biggest barrier — is the chronic underfunding of Indian health care nationwide.</w:t>
      </w:r>
    </w:p>
    <w:p>
      <w:pPr>
        <w:pStyle w:val="Heading2"/>
        <w:spacing w:before="203"/>
      </w:pPr>
      <w:bookmarkStart w:name="_bookmark8" w:id="9"/>
      <w:bookmarkEnd w:id="9"/>
      <w:r>
        <w:rPr>
          <w:b w:val="0"/>
        </w:rPr>
      </w:r>
      <w:r>
        <w:rPr>
          <w:color w:val="CF9F52"/>
        </w:rPr>
        <w:t>Federal Funding Deficiencies for Indian Health Care</w:t>
      </w:r>
    </w:p>
    <w:p>
      <w:pPr>
        <w:pStyle w:val="BodyText"/>
        <w:spacing w:line="276" w:lineRule="auto" w:before="195"/>
        <w:ind w:left="820" w:right="724"/>
      </w:pPr>
      <w:r>
        <w:rPr>
          <w:color w:val="252525"/>
        </w:rPr>
        <w:t>The health care delivery system for AI/ANs in the United States is complex and unique, resulting from treaty obligations, federal court cases, and federal laws.</w:t>
      </w:r>
      <w:r>
        <w:rPr>
          <w:color w:val="252525"/>
          <w:position w:val="5"/>
          <w:sz w:val="14"/>
        </w:rPr>
        <w:t>22 </w:t>
      </w:r>
      <w:r>
        <w:rPr>
          <w:color w:val="252525"/>
        </w:rPr>
        <w:t>Since 1955, Congress has funded health care delivery through the IHS, a federal agency within the U.S. Department of Health and Human Services. Originally an agency that provided health care and related services, IHS has only three service units remaining today in Washington State. The IHS service units provide health care services on three Indian reservations in eastern Washington. Under the Indian Self-Determination and Education Assistance Act of 1975, every tribe in Washington State has contracted to administer some or all of their health care programs funded through IHS. In addition, under the Indian Health Care Improvement Act, Congress authorized the establishment of urban Indian health programs to serve AI/ANs in metropolitan areas to fulfill the special trust responsibility to AI/ANs who could not access health care from an IHS or tribal facility; the urban Indian health programs in Washington operate in Seattle and Spokane. In 2018, Congress appropriated approximately $5.5 billion for all IHS-funded projects and programs.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line style="position:absolute;mso-position-horizontal-relative:page;mso-position-vertical-relative:paragraph;z-index:-352;mso-wrap-distance-left:0;mso-wrap-distance-right:0" from="72.024002pt,16.537325pt" to="216.044002pt,16.537325pt" stroked="true" strokeweight=".599980pt" strokecolor="#000000">
            <v:stroke dashstyle="solid"/>
            <w10:wrap type="topAndBottom"/>
          </v:line>
        </w:pict>
      </w:r>
    </w:p>
    <w:p>
      <w:pPr>
        <w:spacing w:before="66"/>
        <w:ind w:left="820" w:right="956" w:firstLine="0"/>
        <w:jc w:val="left"/>
        <w:rPr>
          <w:sz w:val="20"/>
        </w:rPr>
      </w:pPr>
      <w:r>
        <w:rPr>
          <w:position w:val="5"/>
          <w:sz w:val="13"/>
        </w:rPr>
        <w:t>21 </w:t>
      </w:r>
      <w:r>
        <w:rPr>
          <w:sz w:val="20"/>
        </w:rPr>
        <w:t>Swinomish Tribal Mental Health Project. (2002). A gathering of wisdoms: Tribal mental health, a cultural perspective (2nd ed). La Conner, Washington: Swinomish Indian Tribal Community.</w:t>
      </w:r>
    </w:p>
    <w:p>
      <w:pPr>
        <w:spacing w:before="0"/>
        <w:ind w:left="820" w:right="885" w:firstLine="0"/>
        <w:jc w:val="left"/>
        <w:rPr>
          <w:sz w:val="20"/>
        </w:rPr>
      </w:pPr>
      <w:r>
        <w:rPr>
          <w:position w:val="5"/>
          <w:sz w:val="13"/>
        </w:rPr>
        <w:t>22 </w:t>
      </w:r>
      <w:r>
        <w:rPr>
          <w:color w:val="252525"/>
          <w:sz w:val="20"/>
        </w:rPr>
        <w:t>For a brief description of the history of the special trust responsibility to provide health care to American Indians and Alaska Natives, see Warne, D., &amp; Frizzell, L.B. (2014). American Indian health policy: Historical trends and contemporary issues. </w:t>
      </w:r>
      <w:r>
        <w:rPr>
          <w:i/>
          <w:color w:val="252525"/>
          <w:sz w:val="20"/>
        </w:rPr>
        <w:t>American Journal of Public Health</w:t>
      </w:r>
      <w:r>
        <w:rPr>
          <w:color w:val="252525"/>
          <w:sz w:val="20"/>
        </w:rPr>
        <w:t>, </w:t>
      </w:r>
      <w:r>
        <w:rPr>
          <w:i/>
          <w:color w:val="252525"/>
          <w:sz w:val="20"/>
        </w:rPr>
        <w:t>104</w:t>
      </w:r>
      <w:r>
        <w:rPr>
          <w:color w:val="252525"/>
          <w:sz w:val="20"/>
        </w:rPr>
        <w:t>(Suppl 3), S263–S267. Available at https://</w:t>
      </w:r>
      <w:hyperlink r:id="rId23">
        <w:r>
          <w:rPr>
            <w:color w:val="252525"/>
            <w:sz w:val="20"/>
          </w:rPr>
          <w:t>www.ncbi.nlm.nih.gov/pmc/articles/PMC4035886/</w:t>
        </w:r>
      </w:hyperlink>
    </w:p>
    <w:p>
      <w:pPr>
        <w:spacing w:after="0"/>
        <w:jc w:val="left"/>
        <w:rPr>
          <w:sz w:val="20"/>
        </w:rPr>
        <w:sectPr>
          <w:pgSz w:w="12240" w:h="15840"/>
          <w:pgMar w:header="0" w:footer="1277" w:top="1360" w:bottom="1460" w:left="620" w:right="740"/>
        </w:sectPr>
      </w:pPr>
    </w:p>
    <w:p>
      <w:pPr>
        <w:pStyle w:val="BodyText"/>
        <w:spacing w:line="276" w:lineRule="auto" w:before="82"/>
        <w:ind w:left="820" w:right="697"/>
      </w:pPr>
      <w:r>
        <w:rPr>
          <w:color w:val="252525"/>
        </w:rPr>
        <w:t>Yet, Congress persistently underfunds health care for AI/ANs. For example, as shown in Chart 6, IHS per capita funding for health care delivery increased minimally from $2,741 in 2010 to $2,834 in 2016. With the growth in overall health care spending per capita from $8,411 to $10,410, the ratio of IHS spending to overall spending actually declined from 33 percent in 2010 to 27 percent in 2016. In its December 20, 2018 publication,</w:t>
      </w:r>
      <w:r>
        <w:rPr>
          <w:color w:val="252525"/>
          <w:position w:val="5"/>
          <w:sz w:val="14"/>
        </w:rPr>
        <w:t>23 </w:t>
      </w:r>
      <w:r>
        <w:rPr>
          <w:color w:val="252525"/>
        </w:rPr>
        <w:t>the U.S. Commission on Civil Rights described other aspects of this underfunding, including IHS funding being subject to full sequestration and IHS budgets not receiving advance appropriations, both of which impede any planning for the future.</w:t>
      </w:r>
    </w:p>
    <w:p>
      <w:pPr>
        <w:pStyle w:val="BodyText"/>
        <w:spacing w:before="3"/>
        <w:rPr>
          <w:sz w:val="13"/>
        </w:rPr>
      </w:pPr>
      <w:r>
        <w:rPr/>
        <w:pict>
          <v:group style="position:absolute;margin-left:71.875pt;margin-top:9.772231pt;width:461.05pt;height:230.65pt;mso-position-horizontal-relative:page;mso-position-vertical-relative:paragraph;z-index:-88;mso-wrap-distance-left:0;mso-wrap-distance-right:0" coordorigin="1438,195" coordsize="9221,4613">
            <v:line style="position:absolute" from="2438,3528" to="10436,3528" stroked="true" strokeweight=".75pt" strokecolor="#dedede">
              <v:stroke dashstyle="solid"/>
            </v:line>
            <v:shape style="position:absolute;left:3009;top:3315;width:6856;height:93" coordorigin="3009,3316" coordsize="6856,93" path="m3009,3389l4152,3408,5294,3360,6437,3341,7579,3322,8722,3316,9865,3372e" filled="false" stroked="true" strokeweight="2.25pt" strokecolor="#c00000">
              <v:path arrowok="t"/>
              <v:stroke dashstyle="solid"/>
            </v:shape>
            <v:shape style="position:absolute;left:2952;top:3332;width:116;height:116" type="#_x0000_t75" stroked="false">
              <v:imagedata r:id="rId24" o:title=""/>
            </v:shape>
            <v:shape style="position:absolute;left:4094;top:3351;width:116;height:116" type="#_x0000_t75" stroked="false">
              <v:imagedata r:id="rId25" o:title=""/>
            </v:shape>
            <v:shape style="position:absolute;left:5236;top:3303;width:116;height:116" type="#_x0000_t75" stroked="false">
              <v:imagedata r:id="rId26" o:title=""/>
            </v:shape>
            <v:shape style="position:absolute;left:6379;top:3284;width:116;height:116" type="#_x0000_t75" stroked="false">
              <v:imagedata r:id="rId25" o:title=""/>
            </v:shape>
            <v:shape style="position:absolute;left:7521;top:3265;width:116;height:116" type="#_x0000_t75" stroked="false">
              <v:imagedata r:id="rId24" o:title=""/>
            </v:shape>
            <v:shape style="position:absolute;left:8664;top:3260;width:116;height:116" type="#_x0000_t75" stroked="false">
              <v:imagedata r:id="rId26" o:title=""/>
            </v:shape>
            <v:shape style="position:absolute;left:9806;top:3315;width:116;height:116" type="#_x0000_t75" stroked="false">
              <v:imagedata r:id="rId24" o:title=""/>
            </v:shape>
            <v:line style="position:absolute" from="2438,3154" to="10436,3154" stroked="true" strokeweight=".75pt" strokecolor="#dedede">
              <v:stroke dashstyle="solid"/>
            </v:line>
            <v:line style="position:absolute" from="2438,2779" to="10436,2779" stroked="true" strokeweight=".75pt" strokecolor="#dedede">
              <v:stroke dashstyle="solid"/>
            </v:line>
            <v:line style="position:absolute" from="2438,2407" to="10436,2407" stroked="true" strokeweight=".75pt" strokecolor="#dedede">
              <v:stroke dashstyle="solid"/>
            </v:line>
            <v:line style="position:absolute" from="2438,2033" to="10436,2033" stroked="true" strokeweight=".75pt" strokecolor="#dedede">
              <v:stroke dashstyle="solid"/>
            </v:line>
            <v:line style="position:absolute" from="2438,1659" to="10436,1659" stroked="true" strokeweight=".75pt" strokecolor="#dedede">
              <v:stroke dashstyle="solid"/>
            </v:line>
            <v:shape style="position:absolute;left:3009;top:1631;width:6856;height:185" coordorigin="3009,1632" coordsize="6856,185" path="m3009,1816l4152,1769,5294,1764,6437,1752,7579,1714,8722,1668,9865,1632e" filled="false" stroked="true" strokeweight="2.25pt" strokecolor="#1c629f">
              <v:path arrowok="t"/>
              <v:stroke dashstyle="solid"/>
            </v:shape>
            <v:shape style="position:absolute;left:2952;top:1760;width:116;height:116" type="#_x0000_t75" stroked="false">
              <v:imagedata r:id="rId27" o:title=""/>
            </v:shape>
            <v:shape style="position:absolute;left:4094;top:1712;width:116;height:116" type="#_x0000_t75" stroked="false">
              <v:imagedata r:id="rId28" o:title=""/>
            </v:shape>
            <v:shape style="position:absolute;left:5236;top:1707;width:116;height:116" type="#_x0000_t75" stroked="false">
              <v:imagedata r:id="rId29" o:title=""/>
            </v:shape>
            <v:shape style="position:absolute;left:6379;top:1695;width:116;height:116" type="#_x0000_t75" stroked="false">
              <v:imagedata r:id="rId28" o:title=""/>
            </v:shape>
            <v:shape style="position:absolute;left:7521;top:1657;width:116;height:116" type="#_x0000_t75" stroked="false">
              <v:imagedata r:id="rId27" o:title=""/>
            </v:shape>
            <v:shape style="position:absolute;left:8664;top:1611;width:116;height:116" type="#_x0000_t75" stroked="false">
              <v:imagedata r:id="rId29" o:title=""/>
            </v:shape>
            <v:shape style="position:absolute;left:9806;top:1575;width:116;height:116" type="#_x0000_t75" stroked="false">
              <v:imagedata r:id="rId28" o:title=""/>
            </v:shape>
            <v:shape style="position:absolute;left:3009;top:1955;width:6856;height:374" coordorigin="3009,1956" coordsize="6856,374" path="m3009,2330l4152,2285,5294,2232,6437,2196,7579,2119,8722,2031,9865,1956e" filled="false" stroked="true" strokeweight="2.25pt" strokecolor="#252525">
              <v:path arrowok="t"/>
              <v:stroke dashstyle="solid"/>
            </v:shape>
            <v:shape style="position:absolute;left:2952;top:2273;width:116;height:116" type="#_x0000_t75" stroked="false">
              <v:imagedata r:id="rId30" o:title=""/>
            </v:shape>
            <v:shape style="position:absolute;left:4094;top:2228;width:116;height:116" type="#_x0000_t75" stroked="false">
              <v:imagedata r:id="rId30" o:title=""/>
            </v:shape>
            <v:shape style="position:absolute;left:5236;top:2175;width:116;height:116" type="#_x0000_t75" stroked="false">
              <v:imagedata r:id="rId31" o:title=""/>
            </v:shape>
            <v:shape style="position:absolute;left:6379;top:2139;width:116;height:116" type="#_x0000_t75" stroked="false">
              <v:imagedata r:id="rId30" o:title=""/>
            </v:shape>
            <v:shape style="position:absolute;left:7521;top:2062;width:116;height:116" type="#_x0000_t75" stroked="false">
              <v:imagedata r:id="rId32" o:title=""/>
            </v:shape>
            <v:shape style="position:absolute;left:8664;top:1973;width:116;height:116" type="#_x0000_t75" stroked="false">
              <v:imagedata r:id="rId31" o:title=""/>
            </v:shape>
            <v:shape style="position:absolute;left:9806;top:1899;width:116;height:116" type="#_x0000_t75" stroked="false">
              <v:imagedata r:id="rId30" o:title=""/>
            </v:shape>
            <v:shape style="position:absolute;left:3009;top:2416;width:6856;height:126" coordorigin="3009,2417" coordsize="6856,126" path="m3009,2525l4152,2543,5294,2542,6437,2489,7579,2491,8722,2434,9865,2417e" filled="false" stroked="true" strokeweight="2.25pt" strokecolor="#46641e">
              <v:path arrowok="t"/>
              <v:stroke dashstyle="solid"/>
            </v:shape>
            <v:shape style="position:absolute;left:2952;top:2468;width:116;height:116" type="#_x0000_t75" stroked="false">
              <v:imagedata r:id="rId33" o:title=""/>
            </v:shape>
            <v:shape style="position:absolute;left:4094;top:2485;width:116;height:116" type="#_x0000_t75" stroked="false">
              <v:imagedata r:id="rId33" o:title=""/>
            </v:shape>
            <v:shape style="position:absolute;left:5236;top:2485;width:116;height:116" type="#_x0000_t75" stroked="false">
              <v:imagedata r:id="rId34" o:title=""/>
            </v:shape>
            <v:shape style="position:absolute;left:6379;top:2432;width:116;height:116" type="#_x0000_t75" stroked="false">
              <v:imagedata r:id="rId33" o:title=""/>
            </v:shape>
            <v:shape style="position:absolute;left:7521;top:2434;width:116;height:116" type="#_x0000_t75" stroked="false">
              <v:imagedata r:id="rId35" o:title=""/>
            </v:shape>
            <v:shape style="position:absolute;left:8664;top:2377;width:116;height:116" type="#_x0000_t75" stroked="false">
              <v:imagedata r:id="rId36" o:title=""/>
            </v:shape>
            <v:shape style="position:absolute;left:9806;top:2360;width:116;height:116" type="#_x0000_t75" stroked="false">
              <v:imagedata r:id="rId37" o:title=""/>
            </v:shape>
            <v:line style="position:absolute" from="2438,1285" to="10436,1285" stroked="true" strokeweight=".75pt" strokecolor="#dedede">
              <v:stroke dashstyle="solid"/>
            </v:line>
            <v:line style="position:absolute" from="2438,3902" to="10436,3902" stroked="true" strokeweight=".75pt" strokecolor="#dedede">
              <v:stroke dashstyle="solid"/>
            </v:line>
            <v:shape style="position:absolute;left:3024;top:4461;width:384;height:116" type="#_x0000_t75" stroked="false">
              <v:imagedata r:id="rId38" o:title=""/>
            </v:shape>
            <v:shape style="position:absolute;left:4438;top:4461;width:384;height:116" type="#_x0000_t75" stroked="false">
              <v:imagedata r:id="rId39" o:title=""/>
            </v:shape>
            <v:shape style="position:absolute;left:7044;top:4461;width:384;height:116" type="#_x0000_t75" stroked="false">
              <v:imagedata r:id="rId40" o:title=""/>
            </v:shape>
            <v:shape style="position:absolute;left:8446;top:4461;width:384;height:116" type="#_x0000_t75" stroked="false">
              <v:imagedata r:id="rId41" o:title=""/>
            </v:shape>
            <v:rect style="position:absolute;left:1440;top:197;width:9216;height:4608" filled="false" stroked="true" strokeweight=".25pt" strokecolor="#252525">
              <v:stroke dashstyle="solid"/>
            </v:rect>
            <v:shape style="position:absolute;left:4863;top:4408;width:1925;height:212" type="#_x0000_t202" filled="false" stroked="false">
              <v:textbox inset="0,0,0,0">
                <w:txbxContent>
                  <w:p>
                    <w:pPr>
                      <w:spacing w:before="0"/>
                      <w:ind w:left="0" w:right="0" w:firstLine="0"/>
                      <w:jc w:val="left"/>
                      <w:rPr>
                        <w:sz w:val="18"/>
                      </w:rPr>
                    </w:pPr>
                    <w:r>
                      <w:rPr>
                        <w:color w:val="252525"/>
                        <w:sz w:val="18"/>
                      </w:rPr>
                      <w:t>All Health Care Spending</w:t>
                    </w:r>
                  </w:p>
                </w:txbxContent>
              </v:textbox>
              <w10:wrap type="none"/>
            </v:shape>
            <v:shape style="position:absolute;left:9667;top:4016;width:420;height:212" type="#_x0000_t202" filled="false" stroked="false">
              <v:textbox inset="0,0,0,0">
                <w:txbxContent>
                  <w:p>
                    <w:pPr>
                      <w:spacing w:before="0"/>
                      <w:ind w:left="0" w:right="0" w:firstLine="0"/>
                      <w:jc w:val="left"/>
                      <w:rPr>
                        <w:sz w:val="18"/>
                      </w:rPr>
                    </w:pPr>
                    <w:r>
                      <w:rPr>
                        <w:color w:val="252525"/>
                        <w:sz w:val="18"/>
                      </w:rPr>
                      <w:t>2016</w:t>
                    </w:r>
                  </w:p>
                </w:txbxContent>
              </v:textbox>
              <w10:wrap type="none"/>
            </v:shape>
            <v:shape style="position:absolute;left:8524;top:4016;width:640;height:604" type="#_x0000_t202" filled="false" stroked="false">
              <v:textbox inset="0,0,0,0">
                <w:txbxContent>
                  <w:p>
                    <w:pPr>
                      <w:spacing w:before="0"/>
                      <w:ind w:left="0" w:right="0" w:firstLine="0"/>
                      <w:jc w:val="left"/>
                      <w:rPr>
                        <w:sz w:val="18"/>
                      </w:rPr>
                    </w:pPr>
                    <w:r>
                      <w:rPr>
                        <w:color w:val="252525"/>
                        <w:sz w:val="18"/>
                      </w:rPr>
                      <w:t>2015</w:t>
                    </w:r>
                  </w:p>
                  <w:p>
                    <w:pPr>
                      <w:spacing w:line="240" w:lineRule="auto" w:before="5"/>
                      <w:rPr>
                        <w:sz w:val="15"/>
                      </w:rPr>
                    </w:pPr>
                  </w:p>
                  <w:p>
                    <w:pPr>
                      <w:spacing w:before="0"/>
                      <w:ind w:left="348" w:right="0" w:firstLine="0"/>
                      <w:jc w:val="left"/>
                      <w:rPr>
                        <w:sz w:val="18"/>
                      </w:rPr>
                    </w:pPr>
                    <w:r>
                      <w:rPr>
                        <w:color w:val="252525"/>
                        <w:sz w:val="18"/>
                      </w:rPr>
                      <w:t>IHS</w:t>
                    </w:r>
                  </w:p>
                </w:txbxContent>
              </v:textbox>
              <w10:wrap type="none"/>
            </v:shape>
            <v:shape style="position:absolute;left:7381;top:4016;width:811;height:604" type="#_x0000_t202" filled="false" stroked="false">
              <v:textbox inset="0,0,0,0">
                <w:txbxContent>
                  <w:p>
                    <w:pPr>
                      <w:spacing w:before="0"/>
                      <w:ind w:left="0" w:right="0" w:firstLine="0"/>
                      <w:jc w:val="left"/>
                      <w:rPr>
                        <w:sz w:val="18"/>
                      </w:rPr>
                    </w:pPr>
                    <w:r>
                      <w:rPr>
                        <w:color w:val="252525"/>
                        <w:sz w:val="18"/>
                      </w:rPr>
                      <w:t>2014</w:t>
                    </w:r>
                  </w:p>
                  <w:p>
                    <w:pPr>
                      <w:spacing w:line="240" w:lineRule="auto" w:before="5"/>
                      <w:rPr>
                        <w:sz w:val="15"/>
                      </w:rPr>
                    </w:pPr>
                  </w:p>
                  <w:p>
                    <w:pPr>
                      <w:spacing w:before="0"/>
                      <w:ind w:left="88" w:right="0" w:firstLine="0"/>
                      <w:jc w:val="left"/>
                      <w:rPr>
                        <w:sz w:val="18"/>
                      </w:rPr>
                    </w:pPr>
                    <w:r>
                      <w:rPr>
                        <w:color w:val="252525"/>
                        <w:sz w:val="18"/>
                      </w:rPr>
                      <w:t>Medicaid</w:t>
                    </w:r>
                  </w:p>
                </w:txbxContent>
              </v:textbox>
              <w10:wrap type="none"/>
            </v:shape>
            <v:shape style="position:absolute;left:6239;top:4016;width:420;height:212" type="#_x0000_t202" filled="false" stroked="false">
              <v:textbox inset="0,0,0,0">
                <w:txbxContent>
                  <w:p>
                    <w:pPr>
                      <w:spacing w:before="0"/>
                      <w:ind w:left="0" w:right="0" w:firstLine="0"/>
                      <w:jc w:val="left"/>
                      <w:rPr>
                        <w:sz w:val="18"/>
                      </w:rPr>
                    </w:pPr>
                    <w:r>
                      <w:rPr>
                        <w:color w:val="252525"/>
                        <w:sz w:val="18"/>
                      </w:rPr>
                      <w:t>2013</w:t>
                    </w:r>
                  </w:p>
                </w:txbxContent>
              </v:textbox>
              <w10:wrap type="none"/>
            </v:shape>
            <v:shape style="position:absolute;left:5096;top:4016;width:420;height:212" type="#_x0000_t202" filled="false" stroked="false">
              <v:textbox inset="0,0,0,0">
                <w:txbxContent>
                  <w:p>
                    <w:pPr>
                      <w:spacing w:before="0"/>
                      <w:ind w:left="0" w:right="0" w:firstLine="0"/>
                      <w:jc w:val="left"/>
                      <w:rPr>
                        <w:sz w:val="18"/>
                      </w:rPr>
                    </w:pPr>
                    <w:r>
                      <w:rPr>
                        <w:color w:val="252525"/>
                        <w:sz w:val="18"/>
                      </w:rPr>
                      <w:t>2012</w:t>
                    </w:r>
                  </w:p>
                </w:txbxContent>
              </v:textbox>
              <w10:wrap type="none"/>
            </v:shape>
            <v:shape style="position:absolute;left:3449;top:4016;width:924;height:604" type="#_x0000_t202" filled="false" stroked="false">
              <v:textbox inset="0,0,0,0">
                <w:txbxContent>
                  <w:p>
                    <w:pPr>
                      <w:spacing w:before="0"/>
                      <w:ind w:left="503" w:right="0" w:firstLine="0"/>
                      <w:jc w:val="left"/>
                      <w:rPr>
                        <w:sz w:val="18"/>
                      </w:rPr>
                    </w:pPr>
                    <w:r>
                      <w:rPr>
                        <w:color w:val="252525"/>
                        <w:sz w:val="18"/>
                      </w:rPr>
                      <w:t>2011</w:t>
                    </w:r>
                  </w:p>
                  <w:p>
                    <w:pPr>
                      <w:spacing w:line="240" w:lineRule="auto" w:before="5"/>
                      <w:rPr>
                        <w:sz w:val="15"/>
                      </w:rPr>
                    </w:pPr>
                  </w:p>
                  <w:p>
                    <w:pPr>
                      <w:spacing w:before="0"/>
                      <w:ind w:left="0" w:right="0" w:firstLine="0"/>
                      <w:jc w:val="left"/>
                      <w:rPr>
                        <w:sz w:val="18"/>
                      </w:rPr>
                    </w:pPr>
                    <w:r>
                      <w:rPr>
                        <w:color w:val="252525"/>
                        <w:sz w:val="18"/>
                      </w:rPr>
                      <w:t>Medicare</w:t>
                    </w:r>
                  </w:p>
                </w:txbxContent>
              </v:textbox>
              <w10:wrap type="none"/>
            </v:shape>
            <v:shape style="position:absolute;left:2810;top:4016;width:420;height:212" type="#_x0000_t202" filled="false" stroked="false">
              <v:textbox inset="0,0,0,0">
                <w:txbxContent>
                  <w:p>
                    <w:pPr>
                      <w:spacing w:before="0"/>
                      <w:ind w:left="0" w:right="0" w:firstLine="0"/>
                      <w:jc w:val="left"/>
                      <w:rPr>
                        <w:sz w:val="18"/>
                      </w:rPr>
                    </w:pPr>
                    <w:r>
                      <w:rPr>
                        <w:color w:val="252525"/>
                        <w:sz w:val="18"/>
                      </w:rPr>
                      <w:t>2010</w:t>
                    </w:r>
                  </w:p>
                </w:txbxContent>
              </v:textbox>
              <w10:wrap type="none"/>
            </v:shape>
            <v:shape style="position:absolute;left:1610;top:1171;width:648;height:2830" type="#_x0000_t202" filled="false" stroked="false">
              <v:textbox inset="0,0,0,0">
                <w:txbxContent>
                  <w:p>
                    <w:pPr>
                      <w:spacing w:before="0"/>
                      <w:ind w:left="0" w:right="0" w:firstLine="0"/>
                      <w:jc w:val="left"/>
                      <w:rPr>
                        <w:sz w:val="18"/>
                      </w:rPr>
                    </w:pPr>
                    <w:r>
                      <w:rPr>
                        <w:color w:val="252525"/>
                        <w:sz w:val="18"/>
                      </w:rPr>
                      <w:t>$14,000</w:t>
                    </w:r>
                  </w:p>
                  <w:p>
                    <w:pPr>
                      <w:spacing w:before="163"/>
                      <w:ind w:left="0" w:right="0" w:firstLine="0"/>
                      <w:jc w:val="left"/>
                      <w:rPr>
                        <w:sz w:val="18"/>
                      </w:rPr>
                    </w:pPr>
                    <w:r>
                      <w:rPr>
                        <w:color w:val="252525"/>
                        <w:sz w:val="18"/>
                      </w:rPr>
                      <w:t>$12,000</w:t>
                    </w:r>
                  </w:p>
                  <w:p>
                    <w:pPr>
                      <w:spacing w:before="163"/>
                      <w:ind w:left="0" w:right="0" w:firstLine="0"/>
                      <w:jc w:val="left"/>
                      <w:rPr>
                        <w:sz w:val="18"/>
                      </w:rPr>
                    </w:pPr>
                    <w:r>
                      <w:rPr>
                        <w:color w:val="252525"/>
                        <w:sz w:val="18"/>
                      </w:rPr>
                      <w:t>$10,000</w:t>
                    </w:r>
                  </w:p>
                  <w:p>
                    <w:pPr>
                      <w:spacing w:before="163"/>
                      <w:ind w:left="99" w:right="0" w:firstLine="0"/>
                      <w:jc w:val="left"/>
                      <w:rPr>
                        <w:sz w:val="18"/>
                      </w:rPr>
                    </w:pPr>
                    <w:r>
                      <w:rPr>
                        <w:color w:val="252525"/>
                        <w:sz w:val="18"/>
                      </w:rPr>
                      <w:t>$8,000</w:t>
                    </w:r>
                  </w:p>
                  <w:p>
                    <w:pPr>
                      <w:spacing w:before="163"/>
                      <w:ind w:left="99" w:right="0" w:firstLine="0"/>
                      <w:jc w:val="left"/>
                      <w:rPr>
                        <w:sz w:val="18"/>
                      </w:rPr>
                    </w:pPr>
                    <w:r>
                      <w:rPr>
                        <w:color w:val="252525"/>
                        <w:sz w:val="18"/>
                      </w:rPr>
                      <w:t>$6,000</w:t>
                    </w:r>
                  </w:p>
                  <w:p>
                    <w:pPr>
                      <w:spacing w:before="163"/>
                      <w:ind w:left="99" w:right="0" w:firstLine="0"/>
                      <w:jc w:val="left"/>
                      <w:rPr>
                        <w:sz w:val="18"/>
                      </w:rPr>
                    </w:pPr>
                    <w:r>
                      <w:rPr>
                        <w:color w:val="252525"/>
                        <w:sz w:val="18"/>
                      </w:rPr>
                      <w:t>$4,000</w:t>
                    </w:r>
                  </w:p>
                  <w:p>
                    <w:pPr>
                      <w:spacing w:before="163"/>
                      <w:ind w:left="99" w:right="0" w:firstLine="0"/>
                      <w:jc w:val="left"/>
                      <w:rPr>
                        <w:sz w:val="18"/>
                      </w:rPr>
                    </w:pPr>
                    <w:r>
                      <w:rPr>
                        <w:color w:val="252525"/>
                        <w:sz w:val="18"/>
                      </w:rPr>
                      <w:t>$2,000</w:t>
                    </w:r>
                  </w:p>
                  <w:p>
                    <w:pPr>
                      <w:spacing w:before="163"/>
                      <w:ind w:left="396" w:right="0" w:firstLine="0"/>
                      <w:jc w:val="left"/>
                      <w:rPr>
                        <w:sz w:val="18"/>
                      </w:rPr>
                    </w:pPr>
                    <w:r>
                      <w:rPr>
                        <w:color w:val="252525"/>
                        <w:sz w:val="18"/>
                      </w:rPr>
                      <w:t>$-</w:t>
                    </w:r>
                  </w:p>
                </w:txbxContent>
              </v:textbox>
              <w10:wrap type="none"/>
            </v:shape>
            <v:shape style="position:absolute;left:3377;top:346;width:5363;height:688" type="#_x0000_t202" filled="false" stroked="false">
              <v:textbox inset="0,0,0,0">
                <w:txbxContent>
                  <w:p>
                    <w:pPr>
                      <w:spacing w:before="1"/>
                      <w:ind w:left="1176" w:right="1" w:hanging="1177"/>
                      <w:jc w:val="left"/>
                      <w:rPr>
                        <w:rFonts w:ascii="Century Gothic"/>
                        <w:b/>
                        <w:sz w:val="28"/>
                      </w:rPr>
                    </w:pPr>
                    <w:r>
                      <w:rPr>
                        <w:rFonts w:ascii="Century Gothic"/>
                        <w:b/>
                        <w:color w:val="252525"/>
                        <w:sz w:val="28"/>
                      </w:rPr>
                      <w:t>Chart 6: National Health Care Spending per Capita, 2010-2016</w:t>
                    </w:r>
                  </w:p>
                </w:txbxContent>
              </v:textbox>
              <w10:wrap type="none"/>
            </v:shape>
            <w10:wrap type="topAndBottom"/>
          </v:group>
        </w:pict>
      </w:r>
    </w:p>
    <w:p>
      <w:pPr>
        <w:spacing w:line="278" w:lineRule="auto" w:before="219"/>
        <w:ind w:left="820" w:right="1008" w:firstLine="0"/>
        <w:jc w:val="both"/>
        <w:rPr>
          <w:i/>
          <w:sz w:val="20"/>
        </w:rPr>
      </w:pPr>
      <w:r>
        <w:rPr>
          <w:i/>
          <w:color w:val="252525"/>
          <w:sz w:val="20"/>
        </w:rPr>
        <w:t>Data Sources: National Health Expenditure Accounts (NHEA) Table 1 for All Health Care Spending per capita </w:t>
      </w:r>
      <w:r>
        <w:rPr>
          <w:i/>
          <w:color w:val="252525"/>
          <w:sz w:val="20"/>
        </w:rPr>
        <w:t>and</w:t>
      </w:r>
      <w:r>
        <w:rPr>
          <w:i/>
          <w:color w:val="252525"/>
          <w:spacing w:val="-5"/>
          <w:sz w:val="20"/>
        </w:rPr>
        <w:t> </w:t>
      </w:r>
      <w:r>
        <w:rPr>
          <w:i/>
          <w:color w:val="252525"/>
          <w:sz w:val="20"/>
        </w:rPr>
        <w:t>Table</w:t>
      </w:r>
      <w:r>
        <w:rPr>
          <w:i/>
          <w:color w:val="252525"/>
          <w:spacing w:val="-3"/>
          <w:sz w:val="20"/>
        </w:rPr>
        <w:t> </w:t>
      </w:r>
      <w:r>
        <w:rPr>
          <w:i/>
          <w:color w:val="252525"/>
          <w:sz w:val="20"/>
        </w:rPr>
        <w:t>21</w:t>
      </w:r>
      <w:r>
        <w:rPr>
          <w:i/>
          <w:color w:val="252525"/>
          <w:spacing w:val="-2"/>
          <w:sz w:val="20"/>
        </w:rPr>
        <w:t> </w:t>
      </w:r>
      <w:r>
        <w:rPr>
          <w:i/>
          <w:color w:val="252525"/>
          <w:sz w:val="20"/>
        </w:rPr>
        <w:t>for</w:t>
      </w:r>
      <w:r>
        <w:rPr>
          <w:i/>
          <w:color w:val="252525"/>
          <w:spacing w:val="-3"/>
          <w:sz w:val="20"/>
        </w:rPr>
        <w:t> </w:t>
      </w:r>
      <w:r>
        <w:rPr>
          <w:i/>
          <w:color w:val="252525"/>
          <w:sz w:val="20"/>
        </w:rPr>
        <w:t>Medicare</w:t>
      </w:r>
      <w:r>
        <w:rPr>
          <w:i/>
          <w:color w:val="252525"/>
          <w:spacing w:val="-4"/>
          <w:sz w:val="20"/>
        </w:rPr>
        <w:t> </w:t>
      </w:r>
      <w:r>
        <w:rPr>
          <w:i/>
          <w:color w:val="252525"/>
          <w:sz w:val="20"/>
        </w:rPr>
        <w:t>and</w:t>
      </w:r>
      <w:r>
        <w:rPr>
          <w:i/>
          <w:color w:val="252525"/>
          <w:spacing w:val="-4"/>
          <w:sz w:val="20"/>
        </w:rPr>
        <w:t> </w:t>
      </w:r>
      <w:r>
        <w:rPr>
          <w:i/>
          <w:color w:val="252525"/>
          <w:sz w:val="20"/>
        </w:rPr>
        <w:t>Medicaid</w:t>
      </w:r>
      <w:r>
        <w:rPr>
          <w:i/>
          <w:color w:val="252525"/>
          <w:spacing w:val="-5"/>
          <w:sz w:val="20"/>
        </w:rPr>
        <w:t> </w:t>
      </w:r>
      <w:r>
        <w:rPr>
          <w:i/>
          <w:color w:val="252525"/>
          <w:sz w:val="20"/>
        </w:rPr>
        <w:t>Spending</w:t>
      </w:r>
      <w:r>
        <w:rPr>
          <w:i/>
          <w:color w:val="252525"/>
          <w:spacing w:val="-4"/>
          <w:sz w:val="20"/>
        </w:rPr>
        <w:t> </w:t>
      </w:r>
      <w:r>
        <w:rPr>
          <w:i/>
          <w:color w:val="252525"/>
          <w:sz w:val="20"/>
        </w:rPr>
        <w:t>per</w:t>
      </w:r>
      <w:r>
        <w:rPr>
          <w:i/>
          <w:color w:val="252525"/>
          <w:spacing w:val="-1"/>
          <w:sz w:val="20"/>
        </w:rPr>
        <w:t> </w:t>
      </w:r>
      <w:r>
        <w:rPr>
          <w:i/>
          <w:color w:val="252525"/>
          <w:sz w:val="20"/>
        </w:rPr>
        <w:t>enrollee;</w:t>
      </w:r>
      <w:r>
        <w:rPr>
          <w:i/>
          <w:color w:val="252525"/>
          <w:spacing w:val="-2"/>
          <w:sz w:val="20"/>
        </w:rPr>
        <w:t> </w:t>
      </w:r>
      <w:r>
        <w:rPr>
          <w:i/>
          <w:color w:val="252525"/>
          <w:sz w:val="20"/>
        </w:rPr>
        <w:t>National</w:t>
      </w:r>
      <w:r>
        <w:rPr>
          <w:i/>
          <w:color w:val="252525"/>
          <w:spacing w:val="-5"/>
          <w:sz w:val="20"/>
        </w:rPr>
        <w:t> </w:t>
      </w:r>
      <w:r>
        <w:rPr>
          <w:i/>
          <w:color w:val="252525"/>
          <w:sz w:val="20"/>
        </w:rPr>
        <w:t>Congress of</w:t>
      </w:r>
      <w:r>
        <w:rPr>
          <w:i/>
          <w:color w:val="252525"/>
          <w:spacing w:val="-5"/>
          <w:sz w:val="20"/>
        </w:rPr>
        <w:t> </w:t>
      </w:r>
      <w:r>
        <w:rPr>
          <w:i/>
          <w:color w:val="252525"/>
          <w:sz w:val="20"/>
        </w:rPr>
        <w:t>American</w:t>
      </w:r>
      <w:r>
        <w:rPr>
          <w:i/>
          <w:color w:val="252525"/>
          <w:spacing w:val="-4"/>
          <w:sz w:val="20"/>
        </w:rPr>
        <w:t> </w:t>
      </w:r>
      <w:r>
        <w:rPr>
          <w:i/>
          <w:color w:val="252525"/>
          <w:sz w:val="20"/>
        </w:rPr>
        <w:t>Indians</w:t>
      </w:r>
      <w:r>
        <w:rPr>
          <w:i/>
          <w:color w:val="252525"/>
          <w:spacing w:val="-3"/>
          <w:sz w:val="20"/>
        </w:rPr>
        <w:t> </w:t>
      </w:r>
      <w:r>
        <w:rPr>
          <w:i/>
          <w:color w:val="252525"/>
          <w:sz w:val="20"/>
        </w:rPr>
        <w:t>Fiscal Year Indian Country Budget Requests: Healthcare for IHS Spending per</w:t>
      </w:r>
      <w:r>
        <w:rPr>
          <w:i/>
          <w:color w:val="252525"/>
          <w:spacing w:val="-6"/>
          <w:sz w:val="20"/>
        </w:rPr>
        <w:t> </w:t>
      </w:r>
      <w:r>
        <w:rPr>
          <w:i/>
          <w:color w:val="252525"/>
          <w:sz w:val="20"/>
        </w:rPr>
        <w:t>user.</w:t>
      </w:r>
    </w:p>
    <w:p>
      <w:pPr>
        <w:pStyle w:val="BodyText"/>
        <w:spacing w:line="276" w:lineRule="auto" w:before="195"/>
        <w:ind w:left="820" w:right="741"/>
      </w:pPr>
      <w:r>
        <w:rPr>
          <w:color w:val="252525"/>
        </w:rPr>
        <w:t>In June 2018, the IHS Indian Health Care Improvement Fund Workgroup issued an interim report on their attempt to establish a methodology for estimating the percentage of need currently met by IHS appropriations;</w:t>
      </w:r>
      <w:r>
        <w:rPr>
          <w:color w:val="252525"/>
          <w:position w:val="5"/>
          <w:sz w:val="14"/>
        </w:rPr>
        <w:t>24 </w:t>
      </w:r>
      <w:r>
        <w:rPr>
          <w:color w:val="252525"/>
        </w:rPr>
        <w:t>see Table 1 for data drawn from that report. Using the per capita amounts from that report, along with the numbers of AI/AN Medicaid enrollees and AI/AN individuals in Washington State, we estimate in the last two lines of Table 1 the total amounts of funding needed in Washington State to bring spending for AI/AN health care up to the average spent nationwide on health care for both populations — by category of services. As shown in Table 1, approximately</w:t>
      </w:r>
    </w:p>
    <w:p>
      <w:pPr>
        <w:pStyle w:val="BodyText"/>
        <w:spacing w:line="276" w:lineRule="auto"/>
        <w:ind w:left="820" w:right="754"/>
      </w:pPr>
      <w:r>
        <w:rPr>
          <w:color w:val="252525"/>
        </w:rPr>
        <w:t>$898 million per year of additional funding would be necessary to bring health care spending on all AI/ANs in the state up to the same level as what is spent on health care for all U.S. residents. These estimates do not take into account any additional funding that would be necessary to address the severe health disparities reflected above.</w:t>
      </w:r>
    </w:p>
    <w:p>
      <w:pPr>
        <w:pStyle w:val="BodyText"/>
        <w:rPr>
          <w:sz w:val="20"/>
        </w:rPr>
      </w:pPr>
    </w:p>
    <w:p>
      <w:pPr>
        <w:pStyle w:val="BodyText"/>
        <w:rPr>
          <w:sz w:val="10"/>
        </w:rPr>
      </w:pPr>
      <w:r>
        <w:rPr/>
        <w:pict>
          <v:line style="position:absolute;mso-position-horizontal-relative:page;mso-position-vertical-relative:paragraph;z-index:-64;mso-wrap-distance-left:0;mso-wrap-distance-right:0" from="72.024002pt,8.153754pt" to="216.044002pt,8.153754pt" stroked="true" strokeweight=".60004pt" strokecolor="#000000">
            <v:stroke dashstyle="solid"/>
            <w10:wrap type="topAndBottom"/>
          </v:line>
        </w:pict>
      </w:r>
    </w:p>
    <w:p>
      <w:pPr>
        <w:spacing w:before="64"/>
        <w:ind w:left="820" w:right="943" w:firstLine="0"/>
        <w:jc w:val="left"/>
        <w:rPr>
          <w:sz w:val="20"/>
        </w:rPr>
      </w:pPr>
      <w:r>
        <w:rPr>
          <w:position w:val="5"/>
          <w:sz w:val="13"/>
        </w:rPr>
        <w:t>23 </w:t>
      </w:r>
      <w:r>
        <w:rPr>
          <w:sz w:val="20"/>
        </w:rPr>
        <w:t>U.S. Commission on Civil Rights. (2018). Broken promises: Continuing federal funding shortfall for native Americans. Washington, DC: Author.</w:t>
      </w:r>
    </w:p>
    <w:p>
      <w:pPr>
        <w:spacing w:before="0"/>
        <w:ind w:left="820" w:right="993" w:firstLine="0"/>
        <w:jc w:val="left"/>
        <w:rPr>
          <w:sz w:val="20"/>
        </w:rPr>
      </w:pPr>
      <w:r>
        <w:rPr>
          <w:position w:val="5"/>
          <w:sz w:val="13"/>
        </w:rPr>
        <w:t>24 </w:t>
      </w:r>
      <w:r>
        <w:rPr>
          <w:sz w:val="20"/>
        </w:rPr>
        <w:t>Data from Interim Report (June 2018) IHS Indian Health Care Improvement Fund Workgroup. Rockville, Maryland.</w:t>
      </w:r>
    </w:p>
    <w:p>
      <w:pPr>
        <w:spacing w:after="0"/>
        <w:jc w:val="left"/>
        <w:rPr>
          <w:sz w:val="20"/>
        </w:rPr>
        <w:sectPr>
          <w:pgSz w:w="12240" w:h="15840"/>
          <w:pgMar w:header="0" w:footer="1277" w:top="1360" w:bottom="1460" w:left="620" w:right="740"/>
        </w:sectPr>
      </w:pPr>
    </w:p>
    <w:p>
      <w:pPr>
        <w:pStyle w:val="BodyText"/>
        <w:spacing w:line="276" w:lineRule="auto" w:before="82"/>
        <w:ind w:left="820" w:right="831"/>
      </w:pPr>
      <w:r>
        <w:rPr>
          <w:color w:val="252525"/>
        </w:rPr>
        <w:t>The public and private insurance payments shown in Table 1 reflect third party payments from Medicaid, Medicare, and commercial insurance. These payments result from federal requirements, particularly Medicaid requirements, to ensure payments to IHS and tribal health programs for services. In addition, under federal law, AI/ANs are required to apply for and use Medicaid and other coverage, when eligible, for care received outside of IHS-funded health programs. IHS is a payer of last resort, last in line even after Veterans Affairs health care payments. Consequently, tribes need the state as a partner to help fulfill the special trust responsibility.</w:t>
      </w:r>
    </w:p>
    <w:p>
      <w:pPr>
        <w:pStyle w:val="BodyText"/>
        <w:spacing w:before="9"/>
        <w:rPr>
          <w:sz w:val="16"/>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7"/>
        <w:gridCol w:w="1553"/>
        <w:gridCol w:w="1546"/>
        <w:gridCol w:w="1537"/>
        <w:gridCol w:w="1540"/>
        <w:gridCol w:w="1551"/>
      </w:tblGrid>
      <w:tr>
        <w:trPr>
          <w:trHeight w:val="604" w:hRule="atLeast"/>
        </w:trPr>
        <w:tc>
          <w:tcPr>
            <w:tcW w:w="9374" w:type="dxa"/>
            <w:gridSpan w:val="6"/>
            <w:shd w:val="clear" w:color="auto" w:fill="C7DFF5"/>
          </w:tcPr>
          <w:p>
            <w:pPr>
              <w:pStyle w:val="TableParagraph"/>
              <w:spacing w:before="161"/>
              <w:ind w:left="107"/>
              <w:rPr>
                <w:rFonts w:ascii="Century Gothic"/>
                <w:b/>
                <w:sz w:val="24"/>
              </w:rPr>
            </w:pPr>
            <w:r>
              <w:rPr>
                <w:rFonts w:ascii="Century Gothic"/>
                <w:b/>
                <w:color w:val="252525"/>
                <w:sz w:val="24"/>
              </w:rPr>
              <w:t>Table 1: Estimates of Annual Underfunding for AI/AN Health Care by Category</w:t>
            </w:r>
          </w:p>
        </w:tc>
      </w:tr>
      <w:tr>
        <w:trPr>
          <w:trHeight w:val="1728" w:hRule="atLeast"/>
        </w:trPr>
        <w:tc>
          <w:tcPr>
            <w:tcW w:w="1647" w:type="dxa"/>
          </w:tcPr>
          <w:p>
            <w:pPr>
              <w:pStyle w:val="TableParagraph"/>
              <w:rPr>
                <w:rFonts w:ascii="Times New Roman"/>
                <w:sz w:val="20"/>
              </w:rPr>
            </w:pPr>
          </w:p>
        </w:tc>
        <w:tc>
          <w:tcPr>
            <w:tcW w:w="1553" w:type="dxa"/>
          </w:tcPr>
          <w:p>
            <w:pPr>
              <w:pStyle w:val="TableParagraph"/>
              <w:rPr>
                <w:sz w:val="22"/>
              </w:rPr>
            </w:pPr>
          </w:p>
          <w:p>
            <w:pPr>
              <w:pStyle w:val="TableParagraph"/>
              <w:spacing w:before="5"/>
              <w:rPr>
                <w:sz w:val="25"/>
              </w:rPr>
            </w:pPr>
          </w:p>
          <w:p>
            <w:pPr>
              <w:pStyle w:val="TableParagraph"/>
              <w:ind w:left="222" w:right="211"/>
              <w:jc w:val="center"/>
              <w:rPr>
                <w:b/>
                <w:sz w:val="20"/>
              </w:rPr>
            </w:pPr>
            <w:r>
              <w:rPr>
                <w:b/>
                <w:color w:val="252525"/>
                <w:sz w:val="20"/>
              </w:rPr>
              <w:t>Medical </w:t>
            </w:r>
            <w:r>
              <w:rPr>
                <w:b/>
                <w:color w:val="252525"/>
                <w:spacing w:val="-5"/>
                <w:sz w:val="20"/>
              </w:rPr>
              <w:t>and </w:t>
            </w:r>
            <w:r>
              <w:rPr>
                <w:b/>
                <w:color w:val="252525"/>
                <w:sz w:val="20"/>
              </w:rPr>
              <w:t>Non- Residential</w:t>
            </w:r>
          </w:p>
          <w:p>
            <w:pPr>
              <w:pStyle w:val="TableParagraph"/>
              <w:spacing w:line="236" w:lineRule="exact" w:before="1"/>
              <w:ind w:left="239" w:right="229" w:hanging="2"/>
              <w:jc w:val="center"/>
              <w:rPr>
                <w:b/>
                <w:sz w:val="20"/>
              </w:rPr>
            </w:pPr>
            <w:r>
              <w:rPr>
                <w:b/>
                <w:color w:val="252525"/>
                <w:sz w:val="20"/>
              </w:rPr>
              <w:t>Behavioral Health</w:t>
            </w:r>
            <w:r>
              <w:rPr>
                <w:b/>
                <w:color w:val="252525"/>
                <w:spacing w:val="-5"/>
                <w:sz w:val="20"/>
              </w:rPr>
              <w:t> Care</w:t>
            </w:r>
          </w:p>
        </w:tc>
        <w:tc>
          <w:tcPr>
            <w:tcW w:w="1546" w:type="dxa"/>
          </w:tcPr>
          <w:p>
            <w:pPr>
              <w:pStyle w:val="TableParagraph"/>
              <w:spacing w:before="85"/>
              <w:ind w:left="157" w:right="150" w:firstLine="93"/>
              <w:jc w:val="both"/>
              <w:rPr>
                <w:b/>
                <w:sz w:val="20"/>
              </w:rPr>
            </w:pPr>
            <w:r>
              <w:rPr>
                <w:b/>
                <w:color w:val="252525"/>
                <w:sz w:val="20"/>
              </w:rPr>
              <w:t>Residential Behavioral Health Care, Long-Term Services, and </w:t>
            </w:r>
            <w:r>
              <w:rPr>
                <w:b/>
                <w:color w:val="252525"/>
                <w:w w:val="95"/>
                <w:sz w:val="20"/>
              </w:rPr>
              <w:t>School-Based</w:t>
            </w:r>
          </w:p>
          <w:p>
            <w:pPr>
              <w:pStyle w:val="TableParagraph"/>
              <w:spacing w:line="213" w:lineRule="exact" w:before="3"/>
              <w:ind w:left="390"/>
              <w:rPr>
                <w:b/>
                <w:sz w:val="20"/>
              </w:rPr>
            </w:pPr>
            <w:r>
              <w:rPr>
                <w:b/>
                <w:color w:val="252525"/>
                <w:sz w:val="20"/>
              </w:rPr>
              <w:t>Services</w:t>
            </w:r>
          </w:p>
        </w:tc>
        <w:tc>
          <w:tcPr>
            <w:tcW w:w="153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line="213" w:lineRule="exact"/>
              <w:ind w:left="229"/>
              <w:rPr>
                <w:b/>
                <w:sz w:val="20"/>
              </w:rPr>
            </w:pPr>
            <w:r>
              <w:rPr>
                <w:b/>
                <w:color w:val="252525"/>
                <w:sz w:val="20"/>
              </w:rPr>
              <w:t>Dental Care</w:t>
            </w:r>
          </w:p>
        </w:tc>
        <w:tc>
          <w:tcPr>
            <w:tcW w:w="154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line="213" w:lineRule="exact"/>
              <w:ind w:right="146"/>
              <w:jc w:val="right"/>
              <w:rPr>
                <w:b/>
                <w:sz w:val="20"/>
              </w:rPr>
            </w:pPr>
            <w:r>
              <w:rPr>
                <w:b/>
                <w:color w:val="252525"/>
                <w:sz w:val="20"/>
              </w:rPr>
              <w:t>Public Health</w:t>
            </w:r>
          </w:p>
        </w:tc>
        <w:tc>
          <w:tcPr>
            <w:tcW w:w="155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line="213" w:lineRule="exact"/>
              <w:ind w:left="511" w:right="506"/>
              <w:jc w:val="center"/>
              <w:rPr>
                <w:b/>
                <w:sz w:val="20"/>
              </w:rPr>
            </w:pPr>
            <w:r>
              <w:rPr>
                <w:b/>
                <w:color w:val="252525"/>
                <w:sz w:val="20"/>
              </w:rPr>
              <w:t>Total</w:t>
            </w:r>
          </w:p>
        </w:tc>
      </w:tr>
      <w:tr>
        <w:trPr>
          <w:trHeight w:val="269" w:hRule="atLeast"/>
        </w:trPr>
        <w:tc>
          <w:tcPr>
            <w:tcW w:w="9374" w:type="dxa"/>
            <w:gridSpan w:val="6"/>
            <w:shd w:val="clear" w:color="auto" w:fill="C7DFF5"/>
          </w:tcPr>
          <w:p>
            <w:pPr>
              <w:pStyle w:val="TableParagraph"/>
              <w:spacing w:line="232" w:lineRule="exact" w:before="16"/>
              <w:ind w:left="107"/>
              <w:rPr>
                <w:i/>
                <w:sz w:val="20"/>
              </w:rPr>
            </w:pPr>
            <w:r>
              <w:rPr>
                <w:i/>
                <w:color w:val="252525"/>
                <w:sz w:val="20"/>
              </w:rPr>
              <w:t>National Per User Amounts</w:t>
            </w:r>
          </w:p>
        </w:tc>
      </w:tr>
      <w:tr>
        <w:trPr>
          <w:trHeight w:val="858" w:hRule="atLeast"/>
        </w:trPr>
        <w:tc>
          <w:tcPr>
            <w:tcW w:w="1647" w:type="dxa"/>
          </w:tcPr>
          <w:p>
            <w:pPr>
              <w:pStyle w:val="TableParagraph"/>
              <w:spacing w:before="78"/>
              <w:ind w:left="107" w:right="174"/>
              <w:rPr>
                <w:sz w:val="20"/>
              </w:rPr>
            </w:pPr>
            <w:r>
              <w:rPr>
                <w:color w:val="252525"/>
                <w:sz w:val="20"/>
              </w:rPr>
              <w:t>National Health Expenditures (NHE)</w:t>
            </w:r>
          </w:p>
        </w:tc>
        <w:tc>
          <w:tcPr>
            <w:tcW w:w="1553" w:type="dxa"/>
            <w:tcBorders>
              <w:bottom w:val="nil"/>
            </w:tcBorders>
          </w:tcPr>
          <w:p>
            <w:pPr>
              <w:pStyle w:val="TableParagraph"/>
              <w:spacing w:before="8"/>
              <w:rPr>
                <w:sz w:val="26"/>
              </w:rPr>
            </w:pPr>
          </w:p>
          <w:p>
            <w:pPr>
              <w:pStyle w:val="TableParagraph"/>
              <w:spacing w:before="1"/>
              <w:ind w:right="101"/>
              <w:jc w:val="right"/>
              <w:rPr>
                <w:sz w:val="20"/>
              </w:rPr>
            </w:pPr>
            <w:r>
              <w:rPr>
                <w:color w:val="252525"/>
                <w:w w:val="95"/>
                <w:sz w:val="20"/>
              </w:rPr>
              <w:t>$7,749</w:t>
            </w:r>
          </w:p>
        </w:tc>
        <w:tc>
          <w:tcPr>
            <w:tcW w:w="1546" w:type="dxa"/>
            <w:tcBorders>
              <w:bottom w:val="nil"/>
            </w:tcBorders>
          </w:tcPr>
          <w:p>
            <w:pPr>
              <w:pStyle w:val="TableParagraph"/>
              <w:spacing w:before="8"/>
              <w:rPr>
                <w:sz w:val="26"/>
              </w:rPr>
            </w:pPr>
          </w:p>
          <w:p>
            <w:pPr>
              <w:pStyle w:val="TableParagraph"/>
              <w:spacing w:before="1"/>
              <w:ind w:right="99"/>
              <w:jc w:val="right"/>
              <w:rPr>
                <w:sz w:val="20"/>
              </w:rPr>
            </w:pPr>
            <w:r>
              <w:rPr>
                <w:color w:val="252525"/>
                <w:w w:val="95"/>
                <w:sz w:val="20"/>
              </w:rPr>
              <w:t>$1,329</w:t>
            </w:r>
          </w:p>
        </w:tc>
        <w:tc>
          <w:tcPr>
            <w:tcW w:w="1537" w:type="dxa"/>
            <w:tcBorders>
              <w:bottom w:val="nil"/>
            </w:tcBorders>
          </w:tcPr>
          <w:p>
            <w:pPr>
              <w:pStyle w:val="TableParagraph"/>
              <w:spacing w:before="8"/>
              <w:rPr>
                <w:sz w:val="26"/>
              </w:rPr>
            </w:pPr>
          </w:p>
          <w:p>
            <w:pPr>
              <w:pStyle w:val="TableParagraph"/>
              <w:spacing w:before="1"/>
              <w:ind w:right="100"/>
              <w:jc w:val="right"/>
              <w:rPr>
                <w:sz w:val="20"/>
              </w:rPr>
            </w:pPr>
            <w:r>
              <w:rPr>
                <w:color w:val="252525"/>
                <w:w w:val="95"/>
                <w:sz w:val="20"/>
              </w:rPr>
              <w:t>$393</w:t>
            </w:r>
          </w:p>
        </w:tc>
        <w:tc>
          <w:tcPr>
            <w:tcW w:w="1540" w:type="dxa"/>
            <w:tcBorders>
              <w:bottom w:val="nil"/>
            </w:tcBorders>
          </w:tcPr>
          <w:p>
            <w:pPr>
              <w:pStyle w:val="TableParagraph"/>
              <w:spacing w:before="8"/>
              <w:rPr>
                <w:sz w:val="26"/>
              </w:rPr>
            </w:pPr>
          </w:p>
          <w:p>
            <w:pPr>
              <w:pStyle w:val="TableParagraph"/>
              <w:spacing w:before="1"/>
              <w:ind w:right="104"/>
              <w:jc w:val="right"/>
              <w:rPr>
                <w:sz w:val="20"/>
              </w:rPr>
            </w:pPr>
            <w:r>
              <w:rPr>
                <w:color w:val="252525"/>
                <w:w w:val="95"/>
                <w:sz w:val="20"/>
              </w:rPr>
              <w:t>$255</w:t>
            </w:r>
          </w:p>
        </w:tc>
        <w:tc>
          <w:tcPr>
            <w:tcW w:w="1551" w:type="dxa"/>
            <w:tcBorders>
              <w:bottom w:val="nil"/>
            </w:tcBorders>
          </w:tcPr>
          <w:p>
            <w:pPr>
              <w:pStyle w:val="TableParagraph"/>
              <w:spacing w:before="8"/>
              <w:rPr>
                <w:sz w:val="26"/>
              </w:rPr>
            </w:pPr>
          </w:p>
          <w:p>
            <w:pPr>
              <w:pStyle w:val="TableParagraph"/>
              <w:spacing w:before="1"/>
              <w:ind w:right="99"/>
              <w:jc w:val="right"/>
              <w:rPr>
                <w:sz w:val="20"/>
              </w:rPr>
            </w:pPr>
            <w:r>
              <w:rPr>
                <w:color w:val="252525"/>
                <w:w w:val="95"/>
                <w:sz w:val="20"/>
              </w:rPr>
              <w:t>$9,726</w:t>
            </w:r>
          </w:p>
        </w:tc>
      </w:tr>
      <w:tr>
        <w:trPr>
          <w:trHeight w:val="1134" w:hRule="atLeast"/>
        </w:trPr>
        <w:tc>
          <w:tcPr>
            <w:tcW w:w="1647" w:type="dxa"/>
          </w:tcPr>
          <w:p>
            <w:pPr>
              <w:pStyle w:val="TableParagraph"/>
              <w:spacing w:before="100"/>
              <w:ind w:left="107" w:right="140"/>
              <w:rPr>
                <w:sz w:val="20"/>
              </w:rPr>
            </w:pPr>
            <w:r>
              <w:rPr>
                <w:color w:val="252525"/>
                <w:sz w:val="20"/>
              </w:rPr>
              <w:t>Less: Public and Private Insurance Payments</w:t>
            </w:r>
          </w:p>
        </w:tc>
        <w:tc>
          <w:tcPr>
            <w:tcW w:w="1553" w:type="dxa"/>
            <w:tcBorders>
              <w:top w:val="nil"/>
              <w:bottom w:val="nil"/>
            </w:tcBorders>
          </w:tcPr>
          <w:p>
            <w:pPr>
              <w:pStyle w:val="TableParagraph"/>
              <w:rPr>
                <w:sz w:val="22"/>
              </w:rPr>
            </w:pPr>
          </w:p>
          <w:p>
            <w:pPr>
              <w:pStyle w:val="TableParagraph"/>
              <w:spacing w:before="192"/>
              <w:ind w:right="100"/>
              <w:jc w:val="right"/>
              <w:rPr>
                <w:sz w:val="20"/>
              </w:rPr>
            </w:pPr>
            <w:r>
              <w:rPr>
                <w:color w:val="252525"/>
                <w:w w:val="95"/>
                <w:sz w:val="20"/>
              </w:rPr>
              <w:t>($1,937)</w:t>
            </w:r>
          </w:p>
        </w:tc>
        <w:tc>
          <w:tcPr>
            <w:tcW w:w="1546" w:type="dxa"/>
            <w:tcBorders>
              <w:top w:val="nil"/>
              <w:bottom w:val="nil"/>
            </w:tcBorders>
          </w:tcPr>
          <w:p>
            <w:pPr>
              <w:pStyle w:val="TableParagraph"/>
              <w:rPr>
                <w:sz w:val="22"/>
              </w:rPr>
            </w:pPr>
          </w:p>
          <w:p>
            <w:pPr>
              <w:pStyle w:val="TableParagraph"/>
              <w:spacing w:before="192"/>
              <w:ind w:right="97"/>
              <w:jc w:val="right"/>
              <w:rPr>
                <w:sz w:val="20"/>
              </w:rPr>
            </w:pPr>
            <w:r>
              <w:rPr>
                <w:color w:val="252525"/>
                <w:w w:val="95"/>
                <w:sz w:val="20"/>
              </w:rPr>
              <w:t>($598)</w:t>
            </w:r>
          </w:p>
        </w:tc>
        <w:tc>
          <w:tcPr>
            <w:tcW w:w="1537" w:type="dxa"/>
            <w:tcBorders>
              <w:top w:val="nil"/>
              <w:bottom w:val="nil"/>
            </w:tcBorders>
          </w:tcPr>
          <w:p>
            <w:pPr>
              <w:pStyle w:val="TableParagraph"/>
              <w:rPr>
                <w:sz w:val="22"/>
              </w:rPr>
            </w:pPr>
          </w:p>
          <w:p>
            <w:pPr>
              <w:pStyle w:val="TableParagraph"/>
              <w:spacing w:before="192"/>
              <w:ind w:right="98"/>
              <w:jc w:val="right"/>
              <w:rPr>
                <w:sz w:val="20"/>
              </w:rPr>
            </w:pPr>
            <w:r>
              <w:rPr>
                <w:color w:val="252525"/>
                <w:w w:val="95"/>
                <w:sz w:val="20"/>
              </w:rPr>
              <w:t>($39)</w:t>
            </w:r>
          </w:p>
        </w:tc>
        <w:tc>
          <w:tcPr>
            <w:tcW w:w="1540" w:type="dxa"/>
            <w:tcBorders>
              <w:top w:val="nil"/>
              <w:bottom w:val="nil"/>
            </w:tcBorders>
          </w:tcPr>
          <w:p>
            <w:pPr>
              <w:pStyle w:val="TableParagraph"/>
              <w:rPr>
                <w:sz w:val="22"/>
              </w:rPr>
            </w:pPr>
          </w:p>
          <w:p>
            <w:pPr>
              <w:pStyle w:val="TableParagraph"/>
              <w:spacing w:before="192"/>
              <w:ind w:right="101"/>
              <w:jc w:val="right"/>
              <w:rPr>
                <w:sz w:val="20"/>
              </w:rPr>
            </w:pPr>
            <w:r>
              <w:rPr>
                <w:color w:val="252525"/>
                <w:w w:val="99"/>
                <w:sz w:val="20"/>
              </w:rPr>
              <w:t>—</w:t>
            </w:r>
          </w:p>
        </w:tc>
        <w:tc>
          <w:tcPr>
            <w:tcW w:w="1551" w:type="dxa"/>
            <w:tcBorders>
              <w:top w:val="nil"/>
              <w:bottom w:val="nil"/>
            </w:tcBorders>
          </w:tcPr>
          <w:p>
            <w:pPr>
              <w:pStyle w:val="TableParagraph"/>
              <w:rPr>
                <w:sz w:val="22"/>
              </w:rPr>
            </w:pPr>
          </w:p>
          <w:p>
            <w:pPr>
              <w:pStyle w:val="TableParagraph"/>
              <w:spacing w:before="192"/>
              <w:ind w:right="97"/>
              <w:jc w:val="right"/>
              <w:rPr>
                <w:sz w:val="20"/>
              </w:rPr>
            </w:pPr>
            <w:r>
              <w:rPr>
                <w:color w:val="252525"/>
                <w:w w:val="95"/>
                <w:sz w:val="20"/>
              </w:rPr>
              <w:t>($2,574)</w:t>
            </w:r>
          </w:p>
        </w:tc>
      </w:tr>
      <w:tr>
        <w:trPr>
          <w:trHeight w:val="566" w:hRule="atLeast"/>
        </w:trPr>
        <w:tc>
          <w:tcPr>
            <w:tcW w:w="1647" w:type="dxa"/>
          </w:tcPr>
          <w:p>
            <w:pPr>
              <w:pStyle w:val="TableParagraph"/>
              <w:spacing w:before="49"/>
              <w:ind w:left="107" w:right="735"/>
              <w:rPr>
                <w:sz w:val="13"/>
              </w:rPr>
            </w:pPr>
            <w:r>
              <w:rPr>
                <w:color w:val="252525"/>
                <w:sz w:val="20"/>
              </w:rPr>
              <w:t>Less: IHS </w:t>
            </w:r>
            <w:r>
              <w:rPr>
                <w:color w:val="252525"/>
                <w:w w:val="95"/>
                <w:sz w:val="20"/>
              </w:rPr>
              <w:t>Funding</w:t>
            </w:r>
            <w:r>
              <w:rPr>
                <w:color w:val="252525"/>
                <w:w w:val="95"/>
                <w:position w:val="5"/>
                <w:sz w:val="13"/>
              </w:rPr>
              <w:t>2</w:t>
            </w:r>
          </w:p>
        </w:tc>
        <w:tc>
          <w:tcPr>
            <w:tcW w:w="1553" w:type="dxa"/>
            <w:tcBorders>
              <w:top w:val="nil"/>
              <w:bottom w:val="nil"/>
            </w:tcBorders>
          </w:tcPr>
          <w:p>
            <w:pPr>
              <w:pStyle w:val="TableParagraph"/>
              <w:spacing w:before="167"/>
              <w:ind w:right="100"/>
              <w:jc w:val="right"/>
              <w:rPr>
                <w:sz w:val="20"/>
              </w:rPr>
            </w:pPr>
            <w:r>
              <w:rPr>
                <w:color w:val="252525"/>
                <w:w w:val="95"/>
                <w:sz w:val="20"/>
                <w:u w:val="single" w:color="252525"/>
              </w:rPr>
              <w:t>($2,411)</w:t>
            </w:r>
          </w:p>
        </w:tc>
        <w:tc>
          <w:tcPr>
            <w:tcW w:w="1546" w:type="dxa"/>
            <w:tcBorders>
              <w:top w:val="nil"/>
              <w:bottom w:val="nil"/>
            </w:tcBorders>
          </w:tcPr>
          <w:p>
            <w:pPr>
              <w:pStyle w:val="TableParagraph"/>
              <w:spacing w:before="167"/>
              <w:ind w:right="97"/>
              <w:jc w:val="right"/>
              <w:rPr>
                <w:sz w:val="20"/>
              </w:rPr>
            </w:pPr>
            <w:r>
              <w:rPr>
                <w:color w:val="252525"/>
                <w:w w:val="95"/>
                <w:sz w:val="20"/>
                <w:u w:val="single" w:color="252525"/>
              </w:rPr>
              <w:t>($105)</w:t>
            </w:r>
          </w:p>
        </w:tc>
        <w:tc>
          <w:tcPr>
            <w:tcW w:w="1537" w:type="dxa"/>
            <w:tcBorders>
              <w:top w:val="nil"/>
              <w:bottom w:val="nil"/>
            </w:tcBorders>
          </w:tcPr>
          <w:p>
            <w:pPr>
              <w:pStyle w:val="TableParagraph"/>
              <w:spacing w:before="167"/>
              <w:ind w:right="98"/>
              <w:jc w:val="right"/>
              <w:rPr>
                <w:sz w:val="20"/>
              </w:rPr>
            </w:pPr>
            <w:r>
              <w:rPr>
                <w:color w:val="252525"/>
                <w:w w:val="95"/>
                <w:sz w:val="20"/>
                <w:u w:val="single" w:color="252525"/>
              </w:rPr>
              <w:t>($117)</w:t>
            </w:r>
          </w:p>
        </w:tc>
        <w:tc>
          <w:tcPr>
            <w:tcW w:w="1540" w:type="dxa"/>
            <w:tcBorders>
              <w:top w:val="nil"/>
              <w:bottom w:val="nil"/>
            </w:tcBorders>
          </w:tcPr>
          <w:p>
            <w:pPr>
              <w:pStyle w:val="TableParagraph"/>
              <w:spacing w:before="167"/>
              <w:ind w:right="102"/>
              <w:jc w:val="right"/>
              <w:rPr>
                <w:sz w:val="20"/>
              </w:rPr>
            </w:pPr>
            <w:r>
              <w:rPr>
                <w:color w:val="252525"/>
                <w:w w:val="95"/>
                <w:sz w:val="20"/>
                <w:u w:val="single" w:color="252525"/>
              </w:rPr>
              <w:t>($176)</w:t>
            </w:r>
          </w:p>
        </w:tc>
        <w:tc>
          <w:tcPr>
            <w:tcW w:w="1551" w:type="dxa"/>
            <w:tcBorders>
              <w:top w:val="nil"/>
              <w:bottom w:val="nil"/>
            </w:tcBorders>
          </w:tcPr>
          <w:p>
            <w:pPr>
              <w:pStyle w:val="TableParagraph"/>
              <w:spacing w:before="167"/>
              <w:ind w:right="97"/>
              <w:jc w:val="right"/>
              <w:rPr>
                <w:sz w:val="20"/>
              </w:rPr>
            </w:pPr>
            <w:r>
              <w:rPr>
                <w:color w:val="252525"/>
                <w:w w:val="95"/>
                <w:sz w:val="20"/>
                <w:u w:val="single" w:color="252525"/>
              </w:rPr>
              <w:t>($2,809)</w:t>
            </w:r>
          </w:p>
        </w:tc>
      </w:tr>
      <w:tr>
        <w:trPr>
          <w:trHeight w:val="568" w:hRule="atLeast"/>
        </w:trPr>
        <w:tc>
          <w:tcPr>
            <w:tcW w:w="1647" w:type="dxa"/>
          </w:tcPr>
          <w:p>
            <w:pPr>
              <w:pStyle w:val="TableParagraph"/>
              <w:spacing w:before="49"/>
              <w:ind w:left="107" w:right="174"/>
              <w:rPr>
                <w:sz w:val="20"/>
              </w:rPr>
            </w:pPr>
            <w:r>
              <w:rPr>
                <w:color w:val="252525"/>
                <w:sz w:val="20"/>
              </w:rPr>
              <w:t>Amount </w:t>
            </w:r>
            <w:r>
              <w:rPr>
                <w:color w:val="252525"/>
                <w:w w:val="95"/>
                <w:sz w:val="20"/>
              </w:rPr>
              <w:t>Underfunded</w:t>
            </w:r>
          </w:p>
        </w:tc>
        <w:tc>
          <w:tcPr>
            <w:tcW w:w="1553" w:type="dxa"/>
            <w:tcBorders>
              <w:top w:val="nil"/>
            </w:tcBorders>
          </w:tcPr>
          <w:p>
            <w:pPr>
              <w:pStyle w:val="TableParagraph"/>
              <w:spacing w:before="167"/>
              <w:ind w:right="101"/>
              <w:jc w:val="right"/>
              <w:rPr>
                <w:sz w:val="20"/>
              </w:rPr>
            </w:pPr>
            <w:r>
              <w:rPr>
                <w:color w:val="252525"/>
                <w:w w:val="95"/>
                <w:sz w:val="20"/>
                <w:u w:val="double" w:color="252525"/>
              </w:rPr>
              <w:t>$3,400</w:t>
            </w:r>
          </w:p>
        </w:tc>
        <w:tc>
          <w:tcPr>
            <w:tcW w:w="1546" w:type="dxa"/>
            <w:tcBorders>
              <w:top w:val="nil"/>
            </w:tcBorders>
          </w:tcPr>
          <w:p>
            <w:pPr>
              <w:pStyle w:val="TableParagraph"/>
              <w:spacing w:before="167"/>
              <w:ind w:right="99"/>
              <w:jc w:val="right"/>
              <w:rPr>
                <w:sz w:val="20"/>
              </w:rPr>
            </w:pPr>
            <w:r>
              <w:rPr>
                <w:color w:val="252525"/>
                <w:w w:val="95"/>
                <w:sz w:val="20"/>
                <w:u w:val="double" w:color="252525"/>
              </w:rPr>
              <w:t>$626</w:t>
            </w:r>
          </w:p>
        </w:tc>
        <w:tc>
          <w:tcPr>
            <w:tcW w:w="1537" w:type="dxa"/>
            <w:tcBorders>
              <w:top w:val="nil"/>
            </w:tcBorders>
          </w:tcPr>
          <w:p>
            <w:pPr>
              <w:pStyle w:val="TableParagraph"/>
              <w:spacing w:before="167"/>
              <w:ind w:right="100"/>
              <w:jc w:val="right"/>
              <w:rPr>
                <w:sz w:val="20"/>
              </w:rPr>
            </w:pPr>
            <w:r>
              <w:rPr>
                <w:color w:val="252525"/>
                <w:w w:val="95"/>
                <w:sz w:val="20"/>
                <w:u w:val="double" w:color="252525"/>
              </w:rPr>
              <w:t>$236</w:t>
            </w:r>
          </w:p>
        </w:tc>
        <w:tc>
          <w:tcPr>
            <w:tcW w:w="1540" w:type="dxa"/>
            <w:tcBorders>
              <w:top w:val="nil"/>
            </w:tcBorders>
          </w:tcPr>
          <w:p>
            <w:pPr>
              <w:pStyle w:val="TableParagraph"/>
              <w:spacing w:before="167"/>
              <w:ind w:right="101"/>
              <w:jc w:val="right"/>
              <w:rPr>
                <w:sz w:val="20"/>
              </w:rPr>
            </w:pPr>
            <w:r>
              <w:rPr>
                <w:color w:val="252525"/>
                <w:w w:val="95"/>
                <w:sz w:val="20"/>
                <w:u w:val="double" w:color="252525"/>
              </w:rPr>
              <w:t>$79</w:t>
            </w:r>
          </w:p>
        </w:tc>
        <w:tc>
          <w:tcPr>
            <w:tcW w:w="1551" w:type="dxa"/>
            <w:tcBorders>
              <w:top w:val="nil"/>
            </w:tcBorders>
          </w:tcPr>
          <w:p>
            <w:pPr>
              <w:pStyle w:val="TableParagraph"/>
              <w:spacing w:before="167"/>
              <w:ind w:right="99"/>
              <w:jc w:val="right"/>
              <w:rPr>
                <w:sz w:val="20"/>
              </w:rPr>
            </w:pPr>
            <w:r>
              <w:rPr>
                <w:color w:val="252525"/>
                <w:w w:val="95"/>
                <w:sz w:val="20"/>
                <w:u w:val="double" w:color="252525"/>
              </w:rPr>
              <w:t>$4,341</w:t>
            </w:r>
          </w:p>
        </w:tc>
      </w:tr>
      <w:tr>
        <w:trPr>
          <w:trHeight w:val="273" w:hRule="atLeast"/>
        </w:trPr>
        <w:tc>
          <w:tcPr>
            <w:tcW w:w="9374" w:type="dxa"/>
            <w:gridSpan w:val="6"/>
            <w:shd w:val="clear" w:color="auto" w:fill="C7DFF5"/>
          </w:tcPr>
          <w:p>
            <w:pPr>
              <w:pStyle w:val="TableParagraph"/>
              <w:spacing w:line="232" w:lineRule="exact" w:before="21"/>
              <w:ind w:left="107"/>
              <w:rPr>
                <w:i/>
                <w:sz w:val="20"/>
              </w:rPr>
            </w:pPr>
            <w:r>
              <w:rPr>
                <w:i/>
                <w:color w:val="252525"/>
                <w:sz w:val="20"/>
              </w:rPr>
              <w:t>Calculations of Total Underfunded Amounts = National Per User Amounts multiplied by:</w:t>
            </w:r>
          </w:p>
        </w:tc>
      </w:tr>
      <w:tr>
        <w:trPr>
          <w:trHeight w:val="947" w:hRule="atLeast"/>
        </w:trPr>
        <w:tc>
          <w:tcPr>
            <w:tcW w:w="1647" w:type="dxa"/>
          </w:tcPr>
          <w:p>
            <w:pPr>
              <w:pStyle w:val="TableParagraph"/>
              <w:numPr>
                <w:ilvl w:val="0"/>
                <w:numId w:val="5"/>
              </w:numPr>
              <w:tabs>
                <w:tab w:pos="467" w:val="left" w:leader="none"/>
                <w:tab w:pos="468" w:val="left" w:leader="none"/>
              </w:tabs>
              <w:spacing w:line="240" w:lineRule="auto" w:before="0" w:after="0"/>
              <w:ind w:left="467" w:right="0" w:hanging="360"/>
              <w:jc w:val="left"/>
              <w:rPr>
                <w:sz w:val="13"/>
              </w:rPr>
            </w:pPr>
            <w:r>
              <w:rPr>
                <w:color w:val="252525"/>
                <w:sz w:val="20"/>
              </w:rPr>
              <w:t>71,742</w:t>
            </w:r>
            <w:r>
              <w:rPr>
                <w:color w:val="252525"/>
                <w:position w:val="5"/>
                <w:sz w:val="13"/>
              </w:rPr>
              <w:t>25</w:t>
            </w:r>
          </w:p>
          <w:p>
            <w:pPr>
              <w:pStyle w:val="TableParagraph"/>
              <w:spacing w:before="1"/>
              <w:ind w:left="467"/>
              <w:rPr>
                <w:sz w:val="20"/>
              </w:rPr>
            </w:pPr>
            <w:r>
              <w:rPr>
                <w:color w:val="252525"/>
                <w:sz w:val="20"/>
              </w:rPr>
              <w:t>AI/AN</w:t>
            </w:r>
          </w:p>
          <w:p>
            <w:pPr>
              <w:pStyle w:val="TableParagraph"/>
              <w:spacing w:line="232" w:lineRule="exact" w:before="5"/>
              <w:ind w:left="467" w:right="174"/>
              <w:rPr>
                <w:sz w:val="20"/>
              </w:rPr>
            </w:pPr>
            <w:r>
              <w:rPr>
                <w:color w:val="252525"/>
                <w:sz w:val="20"/>
              </w:rPr>
              <w:t>Medicaid </w:t>
            </w:r>
            <w:r>
              <w:rPr>
                <w:color w:val="252525"/>
                <w:w w:val="95"/>
                <w:sz w:val="20"/>
              </w:rPr>
              <w:t>Enrollees</w:t>
            </w:r>
          </w:p>
        </w:tc>
        <w:tc>
          <w:tcPr>
            <w:tcW w:w="1553" w:type="dxa"/>
          </w:tcPr>
          <w:p>
            <w:pPr>
              <w:pStyle w:val="TableParagraph"/>
              <w:spacing w:before="7"/>
              <w:rPr>
                <w:sz w:val="30"/>
              </w:rPr>
            </w:pPr>
          </w:p>
          <w:p>
            <w:pPr>
              <w:pStyle w:val="TableParagraph"/>
              <w:ind w:right="102"/>
              <w:jc w:val="right"/>
              <w:rPr>
                <w:sz w:val="20"/>
              </w:rPr>
            </w:pPr>
            <w:r>
              <w:rPr>
                <w:color w:val="252525"/>
                <w:w w:val="95"/>
                <w:sz w:val="20"/>
              </w:rPr>
              <w:t>$243,922,800</w:t>
            </w:r>
          </w:p>
        </w:tc>
        <w:tc>
          <w:tcPr>
            <w:tcW w:w="1546" w:type="dxa"/>
          </w:tcPr>
          <w:p>
            <w:pPr>
              <w:pStyle w:val="TableParagraph"/>
              <w:spacing w:before="7"/>
              <w:rPr>
                <w:sz w:val="30"/>
              </w:rPr>
            </w:pPr>
          </w:p>
          <w:p>
            <w:pPr>
              <w:pStyle w:val="TableParagraph"/>
              <w:ind w:right="99"/>
              <w:jc w:val="right"/>
              <w:rPr>
                <w:sz w:val="20"/>
              </w:rPr>
            </w:pPr>
            <w:r>
              <w:rPr>
                <w:color w:val="252525"/>
                <w:w w:val="95"/>
                <w:sz w:val="20"/>
              </w:rPr>
              <w:t>$44,910,492</w:t>
            </w:r>
          </w:p>
        </w:tc>
        <w:tc>
          <w:tcPr>
            <w:tcW w:w="1537" w:type="dxa"/>
          </w:tcPr>
          <w:p>
            <w:pPr>
              <w:pStyle w:val="TableParagraph"/>
              <w:spacing w:before="7"/>
              <w:rPr>
                <w:sz w:val="30"/>
              </w:rPr>
            </w:pPr>
          </w:p>
          <w:p>
            <w:pPr>
              <w:pStyle w:val="TableParagraph"/>
              <w:ind w:right="100"/>
              <w:jc w:val="right"/>
              <w:rPr>
                <w:sz w:val="20"/>
              </w:rPr>
            </w:pPr>
            <w:r>
              <w:rPr>
                <w:color w:val="252525"/>
                <w:w w:val="95"/>
                <w:sz w:val="20"/>
              </w:rPr>
              <w:t>$16,931,112</w:t>
            </w:r>
          </w:p>
        </w:tc>
        <w:tc>
          <w:tcPr>
            <w:tcW w:w="1540" w:type="dxa"/>
          </w:tcPr>
          <w:p>
            <w:pPr>
              <w:pStyle w:val="TableParagraph"/>
              <w:spacing w:before="7"/>
              <w:rPr>
                <w:sz w:val="30"/>
              </w:rPr>
            </w:pPr>
          </w:p>
          <w:p>
            <w:pPr>
              <w:pStyle w:val="TableParagraph"/>
              <w:ind w:right="104"/>
              <w:jc w:val="right"/>
              <w:rPr>
                <w:sz w:val="20"/>
              </w:rPr>
            </w:pPr>
            <w:r>
              <w:rPr>
                <w:color w:val="252525"/>
                <w:w w:val="95"/>
                <w:sz w:val="20"/>
              </w:rPr>
              <w:t>$5,667,618</w:t>
            </w:r>
          </w:p>
        </w:tc>
        <w:tc>
          <w:tcPr>
            <w:tcW w:w="1551" w:type="dxa"/>
          </w:tcPr>
          <w:p>
            <w:pPr>
              <w:pStyle w:val="TableParagraph"/>
              <w:spacing w:before="7"/>
              <w:rPr>
                <w:sz w:val="30"/>
              </w:rPr>
            </w:pPr>
          </w:p>
          <w:p>
            <w:pPr>
              <w:pStyle w:val="TableParagraph"/>
              <w:ind w:right="99"/>
              <w:jc w:val="right"/>
              <w:rPr>
                <w:sz w:val="20"/>
              </w:rPr>
            </w:pPr>
            <w:r>
              <w:rPr>
                <w:color w:val="252525"/>
                <w:w w:val="95"/>
                <w:sz w:val="20"/>
              </w:rPr>
              <w:t>$311,432,022</w:t>
            </w:r>
          </w:p>
        </w:tc>
      </w:tr>
      <w:tr>
        <w:trPr>
          <w:trHeight w:val="712" w:hRule="atLeast"/>
        </w:trPr>
        <w:tc>
          <w:tcPr>
            <w:tcW w:w="1647" w:type="dxa"/>
          </w:tcPr>
          <w:p>
            <w:pPr>
              <w:pStyle w:val="TableParagraph"/>
              <w:numPr>
                <w:ilvl w:val="0"/>
                <w:numId w:val="6"/>
              </w:numPr>
              <w:tabs>
                <w:tab w:pos="359" w:val="left" w:leader="none"/>
                <w:tab w:pos="468" w:val="left" w:leader="none"/>
              </w:tabs>
              <w:spacing w:line="240" w:lineRule="auto" w:before="0" w:after="0"/>
              <w:ind w:left="467" w:right="209" w:hanging="360"/>
              <w:jc w:val="left"/>
              <w:rPr>
                <w:sz w:val="13"/>
              </w:rPr>
            </w:pPr>
            <w:r>
              <w:rPr>
                <w:color w:val="252525"/>
                <w:sz w:val="20"/>
              </w:rPr>
              <w:t>206,860</w:t>
            </w:r>
            <w:r>
              <w:rPr>
                <w:color w:val="252525"/>
                <w:position w:val="5"/>
                <w:sz w:val="13"/>
              </w:rPr>
              <w:t>26</w:t>
            </w:r>
          </w:p>
          <w:p>
            <w:pPr>
              <w:pStyle w:val="TableParagraph"/>
              <w:spacing w:line="234" w:lineRule="exact" w:before="1"/>
              <w:ind w:left="467"/>
              <w:rPr>
                <w:sz w:val="20"/>
              </w:rPr>
            </w:pPr>
            <w:r>
              <w:rPr>
                <w:color w:val="252525"/>
                <w:sz w:val="20"/>
              </w:rPr>
              <w:t>AI/AN</w:t>
            </w:r>
          </w:p>
          <w:p>
            <w:pPr>
              <w:pStyle w:val="TableParagraph"/>
              <w:spacing w:line="212" w:lineRule="exact"/>
              <w:ind w:left="467"/>
              <w:rPr>
                <w:sz w:val="20"/>
              </w:rPr>
            </w:pPr>
            <w:r>
              <w:rPr>
                <w:color w:val="252525"/>
                <w:sz w:val="20"/>
              </w:rPr>
              <w:t>Individuals</w:t>
            </w:r>
          </w:p>
        </w:tc>
        <w:tc>
          <w:tcPr>
            <w:tcW w:w="1553" w:type="dxa"/>
          </w:tcPr>
          <w:p>
            <w:pPr>
              <w:pStyle w:val="TableParagraph"/>
              <w:spacing w:before="4"/>
              <w:rPr>
                <w:sz w:val="20"/>
              </w:rPr>
            </w:pPr>
          </w:p>
          <w:p>
            <w:pPr>
              <w:pStyle w:val="TableParagraph"/>
              <w:spacing w:before="1"/>
              <w:ind w:right="102"/>
              <w:jc w:val="right"/>
              <w:rPr>
                <w:sz w:val="20"/>
              </w:rPr>
            </w:pPr>
            <w:r>
              <w:rPr>
                <w:color w:val="252525"/>
                <w:w w:val="95"/>
                <w:sz w:val="20"/>
              </w:rPr>
              <w:t>$703,324,000</w:t>
            </w:r>
          </w:p>
        </w:tc>
        <w:tc>
          <w:tcPr>
            <w:tcW w:w="1546" w:type="dxa"/>
          </w:tcPr>
          <w:p>
            <w:pPr>
              <w:pStyle w:val="TableParagraph"/>
              <w:spacing w:before="4"/>
              <w:rPr>
                <w:sz w:val="20"/>
              </w:rPr>
            </w:pPr>
          </w:p>
          <w:p>
            <w:pPr>
              <w:pStyle w:val="TableParagraph"/>
              <w:spacing w:before="1"/>
              <w:ind w:right="99"/>
              <w:jc w:val="right"/>
              <w:rPr>
                <w:sz w:val="20"/>
              </w:rPr>
            </w:pPr>
            <w:r>
              <w:rPr>
                <w:color w:val="252525"/>
                <w:w w:val="95"/>
                <w:sz w:val="20"/>
              </w:rPr>
              <w:t>$129,494,360</w:t>
            </w:r>
          </w:p>
        </w:tc>
        <w:tc>
          <w:tcPr>
            <w:tcW w:w="1537" w:type="dxa"/>
          </w:tcPr>
          <w:p>
            <w:pPr>
              <w:pStyle w:val="TableParagraph"/>
              <w:spacing w:before="4"/>
              <w:rPr>
                <w:sz w:val="20"/>
              </w:rPr>
            </w:pPr>
          </w:p>
          <w:p>
            <w:pPr>
              <w:pStyle w:val="TableParagraph"/>
              <w:spacing w:before="1"/>
              <w:ind w:right="100"/>
              <w:jc w:val="right"/>
              <w:rPr>
                <w:sz w:val="20"/>
              </w:rPr>
            </w:pPr>
            <w:r>
              <w:rPr>
                <w:color w:val="252525"/>
                <w:w w:val="95"/>
                <w:sz w:val="20"/>
              </w:rPr>
              <w:t>$48,818,960</w:t>
            </w:r>
          </w:p>
        </w:tc>
        <w:tc>
          <w:tcPr>
            <w:tcW w:w="1540" w:type="dxa"/>
          </w:tcPr>
          <w:p>
            <w:pPr>
              <w:pStyle w:val="TableParagraph"/>
              <w:spacing w:before="4"/>
              <w:rPr>
                <w:sz w:val="20"/>
              </w:rPr>
            </w:pPr>
          </w:p>
          <w:p>
            <w:pPr>
              <w:pStyle w:val="TableParagraph"/>
              <w:spacing w:before="1"/>
              <w:ind w:right="104"/>
              <w:jc w:val="right"/>
              <w:rPr>
                <w:sz w:val="20"/>
              </w:rPr>
            </w:pPr>
            <w:r>
              <w:rPr>
                <w:color w:val="252525"/>
                <w:w w:val="95"/>
                <w:sz w:val="20"/>
              </w:rPr>
              <w:t>$16,341,940</w:t>
            </w:r>
          </w:p>
        </w:tc>
        <w:tc>
          <w:tcPr>
            <w:tcW w:w="1551" w:type="dxa"/>
          </w:tcPr>
          <w:p>
            <w:pPr>
              <w:pStyle w:val="TableParagraph"/>
              <w:spacing w:before="4"/>
              <w:rPr>
                <w:sz w:val="20"/>
              </w:rPr>
            </w:pPr>
          </w:p>
          <w:p>
            <w:pPr>
              <w:pStyle w:val="TableParagraph"/>
              <w:spacing w:before="1"/>
              <w:ind w:right="99"/>
              <w:jc w:val="right"/>
              <w:rPr>
                <w:sz w:val="20"/>
              </w:rPr>
            </w:pPr>
            <w:r>
              <w:rPr>
                <w:color w:val="252525"/>
                <w:w w:val="95"/>
                <w:sz w:val="20"/>
              </w:rPr>
              <w:t>$897,979,260</w:t>
            </w:r>
          </w:p>
        </w:tc>
      </w:tr>
    </w:tbl>
    <w:p>
      <w:pPr>
        <w:spacing w:before="2"/>
        <w:ind w:left="933" w:right="934" w:firstLine="0"/>
        <w:jc w:val="left"/>
        <w:rPr>
          <w:i/>
          <w:sz w:val="20"/>
        </w:rPr>
      </w:pPr>
      <w:r>
        <w:rPr>
          <w:i/>
          <w:color w:val="252525"/>
          <w:sz w:val="20"/>
        </w:rPr>
        <w:t>Data Sources: National Per User amounts from National Health Expenditure Accounts and the Indian Health </w:t>
      </w:r>
      <w:r>
        <w:rPr>
          <w:i/>
          <w:color w:val="252525"/>
          <w:sz w:val="20"/>
        </w:rPr>
        <w:t>Service as reported by IHS Indian Health Care Improvement Fund Workgroup; Washington State AI/AN Medicaid Enrollees from HCA; Washington State AI/AN Individuals from the American Community Survey, 2011-2015.</w:t>
      </w:r>
    </w:p>
    <w:p>
      <w:pPr>
        <w:pStyle w:val="BodyText"/>
        <w:rPr>
          <w:i/>
          <w:sz w:val="20"/>
        </w:rPr>
      </w:pPr>
    </w:p>
    <w:p>
      <w:pPr>
        <w:pStyle w:val="BodyText"/>
        <w:rPr>
          <w:i/>
          <w:sz w:val="20"/>
        </w:rPr>
      </w:pPr>
    </w:p>
    <w:p>
      <w:pPr>
        <w:pStyle w:val="BodyText"/>
        <w:rPr>
          <w:i/>
          <w:sz w:val="20"/>
        </w:rPr>
      </w:pPr>
    </w:p>
    <w:p>
      <w:pPr>
        <w:pStyle w:val="BodyText"/>
        <w:spacing w:before="2"/>
        <w:rPr>
          <w:i/>
          <w:sz w:val="25"/>
        </w:rPr>
      </w:pPr>
      <w:r>
        <w:rPr/>
        <w:pict>
          <v:line style="position:absolute;mso-position-horizontal-relative:page;mso-position-vertical-relative:paragraph;z-index:-40;mso-wrap-distance-left:0;mso-wrap-distance-right:0" from="72.024002pt,17.04458pt" to="216.044002pt,17.04458pt" stroked="true" strokeweight=".599980pt" strokecolor="#000000">
            <v:stroke dashstyle="solid"/>
            <w10:wrap type="topAndBottom"/>
          </v:line>
        </w:pict>
      </w:r>
    </w:p>
    <w:p>
      <w:pPr>
        <w:spacing w:line="234" w:lineRule="exact" w:before="66"/>
        <w:ind w:left="820" w:right="0" w:firstLine="0"/>
        <w:jc w:val="left"/>
        <w:rPr>
          <w:sz w:val="20"/>
        </w:rPr>
      </w:pPr>
      <w:r>
        <w:rPr>
          <w:position w:val="5"/>
          <w:sz w:val="13"/>
        </w:rPr>
        <w:t>25 </w:t>
      </w:r>
      <w:r>
        <w:rPr>
          <w:sz w:val="20"/>
        </w:rPr>
        <w:t>HCA data: Total number of self-identified AI/AN Medicaid enrollees for October 2018.</w:t>
      </w:r>
    </w:p>
    <w:p>
      <w:pPr>
        <w:spacing w:before="0"/>
        <w:ind w:left="820" w:right="959" w:firstLine="0"/>
        <w:jc w:val="left"/>
        <w:rPr>
          <w:sz w:val="20"/>
        </w:rPr>
      </w:pPr>
      <w:r>
        <w:rPr>
          <w:position w:val="5"/>
          <w:sz w:val="13"/>
        </w:rPr>
        <w:t>26 </w:t>
      </w:r>
      <w:r>
        <w:rPr>
          <w:sz w:val="20"/>
        </w:rPr>
        <w:t>American Community Survey, 2011-2015: Total estimated population of AI/AN, alone or in combination, for Washington State.</w:t>
      </w:r>
    </w:p>
    <w:p>
      <w:pPr>
        <w:spacing w:after="0"/>
        <w:jc w:val="left"/>
        <w:rPr>
          <w:sz w:val="20"/>
        </w:rPr>
        <w:sectPr>
          <w:pgSz w:w="12240" w:h="15840"/>
          <w:pgMar w:header="0" w:footer="1277" w:top="1360" w:bottom="1460" w:left="620" w:right="740"/>
        </w:sectPr>
      </w:pPr>
    </w:p>
    <w:p>
      <w:pPr>
        <w:pStyle w:val="Heading2"/>
      </w:pPr>
      <w:bookmarkStart w:name="_bookmark9" w:id="10"/>
      <w:bookmarkEnd w:id="10"/>
      <w:r>
        <w:rPr>
          <w:b w:val="0"/>
        </w:rPr>
      </w:r>
      <w:r>
        <w:rPr>
          <w:color w:val="CF9F52"/>
        </w:rPr>
        <w:t>New CMS Policy for Additional Medicaid Federal Match</w:t>
      </w:r>
    </w:p>
    <w:p>
      <w:pPr>
        <w:pStyle w:val="BodyText"/>
        <w:spacing w:line="276" w:lineRule="auto" w:before="190"/>
        <w:ind w:left="820" w:right="802"/>
      </w:pPr>
      <w:r>
        <w:rPr>
          <w:color w:val="252525"/>
        </w:rPr>
        <w:t>Reflecting the treaty obligations and special trust responsibility, the Centers for Medicare and Medicaid Services (CMS) have historically paid 100 percent Federal Medical Assistance Percentage of the Medicaid payments to tribal and IHS providers for health care services to AI/AN Medicaid clients. With 100 percent FMAP, the state incurs no expense to the General Fund – State for Medicaid payments for services provided to AI/AN Medicaid enrollees by tribal and IHS facilities.</w:t>
      </w:r>
    </w:p>
    <w:p>
      <w:pPr>
        <w:pStyle w:val="BodyText"/>
        <w:spacing w:line="276" w:lineRule="auto" w:before="202"/>
        <w:ind w:left="820" w:right="724"/>
      </w:pPr>
      <w:r>
        <w:rPr>
          <w:color w:val="252525"/>
        </w:rPr>
        <w:t>In February 2016, CMS issued a State Health Official (SHO) letter</w:t>
      </w:r>
      <w:r>
        <w:rPr>
          <w:color w:val="252525"/>
          <w:position w:val="5"/>
          <w:sz w:val="14"/>
        </w:rPr>
        <w:t>27 </w:t>
      </w:r>
      <w:r>
        <w:rPr>
          <w:color w:val="252525"/>
        </w:rPr>
        <w:t>announcing a regulatory change of interpretation. The SHO letter explained that the state can now receive 100 percent FMAP for Medicaid payments to non-IHS, non-tribal providers for health care services to AI/AN Medicaid clients. This 100 percent FMAP is only permitted if the services are covered by a written care coordination agreement between an IHS or tribal facility and a non-IHS, non-tribal provider, under which the IHS or tribal facility practitioner remains responsible for overseeing his or her AI/AN patient’s care and the IHS or tribal facility retains control of the patient’s medical record. To be eligible for 100 percent FMAP, a service must meet the following requirements:</w:t>
      </w:r>
    </w:p>
    <w:p>
      <w:pPr>
        <w:pStyle w:val="ListParagraph"/>
        <w:numPr>
          <w:ilvl w:val="0"/>
          <w:numId w:val="7"/>
        </w:numPr>
        <w:tabs>
          <w:tab w:pos="1541" w:val="left" w:leader="none"/>
        </w:tabs>
        <w:spacing w:line="276" w:lineRule="auto" w:before="201" w:after="0"/>
        <w:ind w:left="1540" w:right="884" w:hanging="360"/>
        <w:jc w:val="left"/>
        <w:rPr>
          <w:rFonts w:ascii="Cambria"/>
          <w:sz w:val="22"/>
        </w:rPr>
      </w:pPr>
      <w:r>
        <w:rPr>
          <w:rFonts w:ascii="Cambria"/>
          <w:color w:val="252525"/>
          <w:sz w:val="22"/>
        </w:rPr>
        <w:t>The IHS or tribal facility practitioner provides a request for specific services (by electronic or other verifiable means) and relevant information about his or her AI/AN patient to the non-IHS/non-tribal</w:t>
      </w:r>
      <w:r>
        <w:rPr>
          <w:rFonts w:ascii="Cambria"/>
          <w:color w:val="252525"/>
          <w:spacing w:val="-1"/>
          <w:sz w:val="22"/>
        </w:rPr>
        <w:t> </w:t>
      </w:r>
      <w:r>
        <w:rPr>
          <w:rFonts w:ascii="Cambria"/>
          <w:color w:val="252525"/>
          <w:sz w:val="22"/>
        </w:rPr>
        <w:t>provider;</w:t>
      </w:r>
    </w:p>
    <w:p>
      <w:pPr>
        <w:pStyle w:val="ListParagraph"/>
        <w:numPr>
          <w:ilvl w:val="0"/>
          <w:numId w:val="7"/>
        </w:numPr>
        <w:tabs>
          <w:tab w:pos="1541" w:val="left" w:leader="none"/>
        </w:tabs>
        <w:spacing w:line="276" w:lineRule="auto" w:before="0" w:after="0"/>
        <w:ind w:left="1540" w:right="790" w:hanging="360"/>
        <w:jc w:val="left"/>
        <w:rPr>
          <w:rFonts w:ascii="Cambria"/>
          <w:sz w:val="22"/>
        </w:rPr>
      </w:pPr>
      <w:r>
        <w:rPr>
          <w:rFonts w:ascii="Cambria"/>
          <w:color w:val="252525"/>
          <w:sz w:val="22"/>
        </w:rPr>
        <w:t>The non-IHS, non-tribal provider sends information about the care it provides to the AI/AN patient, including the results of any screening; diagnostic; or treatment procedures, to the IHS or tribal facility</w:t>
      </w:r>
      <w:r>
        <w:rPr>
          <w:rFonts w:ascii="Cambria"/>
          <w:color w:val="252525"/>
          <w:spacing w:val="-4"/>
          <w:sz w:val="22"/>
        </w:rPr>
        <w:t> </w:t>
      </w:r>
      <w:r>
        <w:rPr>
          <w:rFonts w:ascii="Cambria"/>
          <w:color w:val="252525"/>
          <w:sz w:val="22"/>
        </w:rPr>
        <w:t>practitioner;</w:t>
      </w:r>
    </w:p>
    <w:p>
      <w:pPr>
        <w:pStyle w:val="ListParagraph"/>
        <w:numPr>
          <w:ilvl w:val="0"/>
          <w:numId w:val="7"/>
        </w:numPr>
        <w:tabs>
          <w:tab w:pos="1541" w:val="left" w:leader="none"/>
        </w:tabs>
        <w:spacing w:line="276" w:lineRule="auto" w:before="0" w:after="0"/>
        <w:ind w:left="1540" w:right="748" w:hanging="360"/>
        <w:jc w:val="left"/>
        <w:rPr>
          <w:rFonts w:ascii="Cambria" w:hAnsi="Cambria"/>
          <w:sz w:val="22"/>
        </w:rPr>
      </w:pPr>
      <w:r>
        <w:rPr>
          <w:rFonts w:ascii="Cambria" w:hAnsi="Cambria"/>
          <w:color w:val="252525"/>
          <w:sz w:val="22"/>
        </w:rPr>
        <w:t>The IHS or tribal facility practitioner continues to assume responsibility for the patient’s care</w:t>
      </w:r>
      <w:r>
        <w:rPr>
          <w:rFonts w:ascii="Cambria" w:hAnsi="Cambria"/>
          <w:color w:val="252525"/>
          <w:spacing w:val="-4"/>
          <w:sz w:val="22"/>
        </w:rPr>
        <w:t> </w:t>
      </w:r>
      <w:r>
        <w:rPr>
          <w:rFonts w:ascii="Cambria" w:hAnsi="Cambria"/>
          <w:color w:val="252525"/>
          <w:sz w:val="22"/>
        </w:rPr>
        <w:t>by</w:t>
      </w:r>
      <w:r>
        <w:rPr>
          <w:rFonts w:ascii="Cambria" w:hAnsi="Cambria"/>
          <w:color w:val="252525"/>
          <w:spacing w:val="-4"/>
          <w:sz w:val="22"/>
        </w:rPr>
        <w:t> </w:t>
      </w:r>
      <w:r>
        <w:rPr>
          <w:rFonts w:ascii="Cambria" w:hAnsi="Cambria"/>
          <w:color w:val="252525"/>
          <w:sz w:val="22"/>
        </w:rPr>
        <w:t>assessing</w:t>
      </w:r>
      <w:r>
        <w:rPr>
          <w:rFonts w:ascii="Cambria" w:hAnsi="Cambria"/>
          <w:color w:val="252525"/>
          <w:spacing w:val="-4"/>
          <w:sz w:val="22"/>
        </w:rPr>
        <w:t> </w:t>
      </w:r>
      <w:r>
        <w:rPr>
          <w:rFonts w:ascii="Cambria" w:hAnsi="Cambria"/>
          <w:color w:val="252525"/>
          <w:sz w:val="22"/>
        </w:rPr>
        <w:t>the</w:t>
      </w:r>
      <w:r>
        <w:rPr>
          <w:rFonts w:ascii="Cambria" w:hAnsi="Cambria"/>
          <w:color w:val="252525"/>
          <w:spacing w:val="-3"/>
          <w:sz w:val="22"/>
        </w:rPr>
        <w:t> </w:t>
      </w:r>
      <w:r>
        <w:rPr>
          <w:rFonts w:ascii="Cambria" w:hAnsi="Cambria"/>
          <w:color w:val="252525"/>
          <w:sz w:val="22"/>
        </w:rPr>
        <w:t>information</w:t>
      </w:r>
      <w:r>
        <w:rPr>
          <w:rFonts w:ascii="Cambria" w:hAnsi="Cambria"/>
          <w:color w:val="252525"/>
          <w:spacing w:val="-4"/>
          <w:sz w:val="22"/>
        </w:rPr>
        <w:t> </w:t>
      </w:r>
      <w:r>
        <w:rPr>
          <w:rFonts w:ascii="Cambria" w:hAnsi="Cambria"/>
          <w:color w:val="252525"/>
          <w:sz w:val="22"/>
        </w:rPr>
        <w:t>and</w:t>
      </w:r>
      <w:r>
        <w:rPr>
          <w:rFonts w:ascii="Cambria" w:hAnsi="Cambria"/>
          <w:color w:val="252525"/>
          <w:spacing w:val="-4"/>
          <w:sz w:val="22"/>
        </w:rPr>
        <w:t> </w:t>
      </w:r>
      <w:r>
        <w:rPr>
          <w:rFonts w:ascii="Cambria" w:hAnsi="Cambria"/>
          <w:color w:val="252525"/>
          <w:sz w:val="22"/>
        </w:rPr>
        <w:t>taking</w:t>
      </w:r>
      <w:r>
        <w:rPr>
          <w:rFonts w:ascii="Cambria" w:hAnsi="Cambria"/>
          <w:color w:val="252525"/>
          <w:spacing w:val="-4"/>
          <w:sz w:val="22"/>
        </w:rPr>
        <w:t> </w:t>
      </w:r>
      <w:r>
        <w:rPr>
          <w:rFonts w:ascii="Cambria" w:hAnsi="Cambria"/>
          <w:color w:val="252525"/>
          <w:sz w:val="22"/>
        </w:rPr>
        <w:t>appropriate</w:t>
      </w:r>
      <w:r>
        <w:rPr>
          <w:rFonts w:ascii="Cambria" w:hAnsi="Cambria"/>
          <w:color w:val="252525"/>
          <w:spacing w:val="-4"/>
          <w:sz w:val="22"/>
        </w:rPr>
        <w:t> </w:t>
      </w:r>
      <w:r>
        <w:rPr>
          <w:rFonts w:ascii="Cambria" w:hAnsi="Cambria"/>
          <w:color w:val="252525"/>
          <w:sz w:val="22"/>
        </w:rPr>
        <w:t>action,</w:t>
      </w:r>
      <w:r>
        <w:rPr>
          <w:rFonts w:ascii="Cambria" w:hAnsi="Cambria"/>
          <w:color w:val="252525"/>
          <w:spacing w:val="-4"/>
          <w:sz w:val="22"/>
        </w:rPr>
        <w:t> </w:t>
      </w:r>
      <w:r>
        <w:rPr>
          <w:rFonts w:ascii="Cambria" w:hAnsi="Cambria"/>
          <w:color w:val="252525"/>
          <w:sz w:val="22"/>
        </w:rPr>
        <w:t>including,</w:t>
      </w:r>
      <w:r>
        <w:rPr>
          <w:rFonts w:ascii="Cambria" w:hAnsi="Cambria"/>
          <w:color w:val="252525"/>
          <w:spacing w:val="-3"/>
          <w:sz w:val="22"/>
        </w:rPr>
        <w:t> </w:t>
      </w:r>
      <w:r>
        <w:rPr>
          <w:rFonts w:ascii="Cambria" w:hAnsi="Cambria"/>
          <w:color w:val="252525"/>
          <w:sz w:val="22"/>
        </w:rPr>
        <w:t>when</w:t>
      </w:r>
      <w:r>
        <w:rPr>
          <w:rFonts w:ascii="Cambria" w:hAnsi="Cambria"/>
          <w:color w:val="252525"/>
          <w:spacing w:val="-4"/>
          <w:sz w:val="22"/>
        </w:rPr>
        <w:t> </w:t>
      </w:r>
      <w:r>
        <w:rPr>
          <w:rFonts w:ascii="Cambria" w:hAnsi="Cambria"/>
          <w:color w:val="252525"/>
          <w:sz w:val="22"/>
        </w:rPr>
        <w:t>necessary, furnishing, or requesting additional services;</w:t>
      </w:r>
      <w:r>
        <w:rPr>
          <w:rFonts w:ascii="Cambria" w:hAnsi="Cambria"/>
          <w:color w:val="252525"/>
          <w:spacing w:val="-10"/>
          <w:sz w:val="22"/>
        </w:rPr>
        <w:t> </w:t>
      </w:r>
      <w:r>
        <w:rPr>
          <w:rFonts w:ascii="Cambria" w:hAnsi="Cambria"/>
          <w:color w:val="252525"/>
          <w:sz w:val="22"/>
        </w:rPr>
        <w:t>and</w:t>
      </w:r>
    </w:p>
    <w:p>
      <w:pPr>
        <w:pStyle w:val="ListParagraph"/>
        <w:numPr>
          <w:ilvl w:val="0"/>
          <w:numId w:val="7"/>
        </w:numPr>
        <w:tabs>
          <w:tab w:pos="1541" w:val="left" w:leader="none"/>
        </w:tabs>
        <w:spacing w:line="276" w:lineRule="auto" w:before="0" w:after="0"/>
        <w:ind w:left="1540" w:right="1217" w:hanging="360"/>
        <w:jc w:val="left"/>
        <w:rPr>
          <w:rFonts w:ascii="Cambria" w:hAnsi="Cambria"/>
          <w:sz w:val="22"/>
        </w:rPr>
      </w:pPr>
      <w:r>
        <w:rPr>
          <w:rFonts w:ascii="Cambria" w:hAnsi="Cambria"/>
          <w:color w:val="252525"/>
          <w:sz w:val="22"/>
        </w:rPr>
        <w:t>The IHS or tribal facility incorporates the patient’s information into the medical record through the Health Information Exchange or other agreed-upon</w:t>
      </w:r>
      <w:r>
        <w:rPr>
          <w:rFonts w:ascii="Cambria" w:hAnsi="Cambria"/>
          <w:color w:val="252525"/>
          <w:spacing w:val="-11"/>
          <w:sz w:val="22"/>
        </w:rPr>
        <w:t> </w:t>
      </w:r>
      <w:r>
        <w:rPr>
          <w:rFonts w:ascii="Cambria" w:hAnsi="Cambria"/>
          <w:color w:val="252525"/>
          <w:sz w:val="22"/>
        </w:rPr>
        <w:t>means.</w:t>
      </w:r>
    </w:p>
    <w:p>
      <w:pPr>
        <w:pStyle w:val="BodyText"/>
        <w:spacing w:line="276" w:lineRule="auto" w:before="198"/>
        <w:ind w:left="820" w:right="751"/>
      </w:pPr>
      <w:r>
        <w:rPr>
          <w:color w:val="252525"/>
        </w:rPr>
        <w:t>According to CMS, the purpose of the new 100 percent FMAP policy is to help states, IHS, and tribes to improve delivery systems for AI/ANs by increasing access to care, strengthening continuity of care, and improving population health.</w:t>
      </w:r>
    </w:p>
    <w:p>
      <w:pPr>
        <w:pStyle w:val="BodyText"/>
        <w:spacing w:line="276" w:lineRule="auto" w:before="202"/>
        <w:ind w:left="820" w:right="816"/>
      </w:pPr>
      <w:r>
        <w:rPr>
          <w:color w:val="252525"/>
        </w:rPr>
        <w:t>In January 2017, CMS issued frequently asked questions</w:t>
      </w:r>
      <w:r>
        <w:rPr>
          <w:color w:val="252525"/>
          <w:position w:val="5"/>
          <w:sz w:val="14"/>
        </w:rPr>
        <w:t>28 </w:t>
      </w:r>
      <w:r>
        <w:rPr>
          <w:color w:val="252525"/>
        </w:rPr>
        <w:t>on the SHO letter. In the FAQ, CMS explained that the rate paid for the service provided under the care coordination agreement by the non-IHS, non-tribal facility must be the standard rate applicable to the service as billed. CMS also</w:t>
      </w:r>
    </w:p>
    <w:p>
      <w:pPr>
        <w:pStyle w:val="BodyText"/>
        <w:spacing w:line="276" w:lineRule="auto"/>
        <w:ind w:left="820" w:right="689"/>
      </w:pPr>
      <w:r>
        <w:rPr>
          <w:color w:val="252525"/>
        </w:rPr>
        <w:t>explained that a tribe’s health clinic can be automatically considered a Medicaid federally qualified health center (FQHC) if the tribe opts for that designation. As an FQHC, the tribal clinic may contract </w:t>
      </w:r>
      <w:r>
        <w:rPr/>
        <w:t>with non-IHS, non-tribal providers to provide services outside the clinic’s four walls.</w:t>
      </w:r>
    </w:p>
    <w:p>
      <w:pPr>
        <w:pStyle w:val="BodyText"/>
        <w:rPr>
          <w:sz w:val="20"/>
        </w:rPr>
      </w:pPr>
    </w:p>
    <w:p>
      <w:pPr>
        <w:pStyle w:val="BodyText"/>
        <w:spacing w:before="3"/>
        <w:rPr>
          <w:sz w:val="10"/>
        </w:rPr>
      </w:pPr>
      <w:r>
        <w:rPr/>
        <w:pict>
          <v:line style="position:absolute;mso-position-horizontal-relative:page;mso-position-vertical-relative:paragraph;z-index:-16;mso-wrap-distance-left:0;mso-wrap-distance-right:0" from="72.024002pt,8.270796pt" to="216.044002pt,8.270796pt" stroked="true" strokeweight=".60004pt" strokecolor="#000000">
            <v:stroke dashstyle="solid"/>
            <w10:wrap type="topAndBottom"/>
          </v:line>
        </w:pict>
      </w:r>
    </w:p>
    <w:p>
      <w:pPr>
        <w:spacing w:before="64"/>
        <w:ind w:left="820" w:right="937" w:firstLine="0"/>
        <w:jc w:val="left"/>
        <w:rPr>
          <w:sz w:val="20"/>
        </w:rPr>
      </w:pPr>
      <w:r>
        <w:rPr>
          <w:position w:val="5"/>
          <w:sz w:val="13"/>
        </w:rPr>
        <w:t>27 </w:t>
      </w:r>
      <w:r>
        <w:rPr>
          <w:sz w:val="20"/>
        </w:rPr>
        <w:t>State Health Official Letter #16-002, Federal Funding for Services “Received Through” an IHS/Tribal Facility and Furnished to Medicaid-Eligible American Indians and Alaska Natives, dated February 26, 2016. </w:t>
      </w:r>
      <w:r>
        <w:rPr>
          <w:position w:val="5"/>
          <w:sz w:val="13"/>
        </w:rPr>
        <w:t>28 </w:t>
      </w:r>
      <w:r>
        <w:rPr>
          <w:sz w:val="20"/>
        </w:rPr>
        <w:t>Frequently-Asked Questions (FAQs) on Federal Funding for Services “Received Through” an IHS/Tribal Facility and Furnished to Medicaid-Eligible American Indians and Alaska Natives (SHO #16-002) dated January 18, 2017.</w:t>
      </w:r>
    </w:p>
    <w:p>
      <w:pPr>
        <w:spacing w:after="0"/>
        <w:jc w:val="left"/>
        <w:rPr>
          <w:sz w:val="20"/>
        </w:rPr>
        <w:sectPr>
          <w:pgSz w:w="12240" w:h="15840"/>
          <w:pgMar w:header="0" w:footer="1277" w:top="1360" w:bottom="1460" w:left="620" w:right="740"/>
        </w:sectPr>
      </w:pPr>
    </w:p>
    <w:p>
      <w:pPr>
        <w:pStyle w:val="BodyText"/>
        <w:spacing w:line="278" w:lineRule="auto" w:before="82"/>
        <w:ind w:left="820" w:right="859"/>
      </w:pPr>
      <w:r>
        <w:rPr/>
        <w:t>While the savings achieved from the new 100 percent FMAP interpretation accrue to the state, the required care coordination activities incur administrative costs to the IHS or tribal facility.</w:t>
      </w:r>
    </w:p>
    <w:p>
      <w:pPr>
        <w:pStyle w:val="BodyText"/>
        <w:spacing w:line="276" w:lineRule="auto"/>
        <w:ind w:left="820" w:right="818"/>
      </w:pPr>
      <w:r>
        <w:rPr/>
        <w:t>Moreover, the SHO letter explicitly states that the state may not require tribes or IHS facilities to enter into such care coordination agreements or incur the administrative costs required to comply with the requirements for the new 100 percent FMAP.</w:t>
      </w:r>
    </w:p>
    <w:p>
      <w:pPr>
        <w:pStyle w:val="BodyText"/>
        <w:spacing w:before="5"/>
        <w:rPr>
          <w:sz w:val="16"/>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4568"/>
        <w:gridCol w:w="4676"/>
      </w:tblGrid>
      <w:tr>
        <w:trPr>
          <w:trHeight w:val="537" w:hRule="atLeast"/>
        </w:trPr>
        <w:tc>
          <w:tcPr>
            <w:tcW w:w="108" w:type="dxa"/>
            <w:tcBorders>
              <w:right w:val="nil"/>
            </w:tcBorders>
            <w:shd w:val="clear" w:color="auto" w:fill="C7DFF5"/>
          </w:tcPr>
          <w:p>
            <w:pPr>
              <w:pStyle w:val="TableParagraph"/>
              <w:rPr>
                <w:rFonts w:ascii="Times New Roman"/>
                <w:sz w:val="22"/>
              </w:rPr>
            </w:pPr>
          </w:p>
        </w:tc>
        <w:tc>
          <w:tcPr>
            <w:tcW w:w="9244" w:type="dxa"/>
            <w:gridSpan w:val="2"/>
            <w:tcBorders>
              <w:left w:val="nil"/>
            </w:tcBorders>
            <w:shd w:val="clear" w:color="auto" w:fill="C7DFF5"/>
          </w:tcPr>
          <w:p>
            <w:pPr>
              <w:pStyle w:val="TableParagraph"/>
              <w:spacing w:before="122"/>
              <w:ind w:left="4"/>
              <w:rPr>
                <w:b/>
                <w:sz w:val="22"/>
              </w:rPr>
            </w:pPr>
            <w:r>
              <w:rPr>
                <w:b/>
                <w:color w:val="252525"/>
                <w:sz w:val="22"/>
              </w:rPr>
              <w:t>Hypothetical Comparison to Illustrate Shift in Source of Funds</w:t>
            </w:r>
          </w:p>
        </w:tc>
      </w:tr>
      <w:tr>
        <w:trPr>
          <w:trHeight w:val="4600" w:hRule="atLeast"/>
        </w:trPr>
        <w:tc>
          <w:tcPr>
            <w:tcW w:w="4676" w:type="dxa"/>
            <w:gridSpan w:val="2"/>
          </w:tcPr>
          <w:p>
            <w:pPr>
              <w:pStyle w:val="TableParagraph"/>
              <w:spacing w:before="122"/>
              <w:ind w:left="107"/>
              <w:rPr>
                <w:b/>
                <w:i/>
                <w:sz w:val="22"/>
              </w:rPr>
            </w:pPr>
            <w:r>
              <w:rPr>
                <w:b/>
                <w:i/>
                <w:color w:val="252525"/>
                <w:sz w:val="22"/>
              </w:rPr>
              <w:t>Without New 100 Percent FMAP:</w:t>
            </w:r>
          </w:p>
          <w:p>
            <w:pPr>
              <w:pStyle w:val="TableParagraph"/>
              <w:spacing w:before="4"/>
              <w:rPr>
                <w:sz w:val="20"/>
              </w:rPr>
            </w:pPr>
          </w:p>
          <w:p>
            <w:pPr>
              <w:pStyle w:val="TableParagraph"/>
              <w:spacing w:line="276" w:lineRule="auto"/>
              <w:ind w:left="107" w:right="172"/>
              <w:rPr>
                <w:sz w:val="22"/>
              </w:rPr>
            </w:pPr>
            <w:r>
              <w:rPr>
                <w:color w:val="252525"/>
                <w:sz w:val="22"/>
              </w:rPr>
              <w:t>Tribal clinic refers AI/AN Medicaid-enrolled patient to non-tribal specialist. Specialist assesses patient and bills HCA for $100. If the patient is covered by a Classic Medicaid program with 50 percent FMAP, the sources of funds for the $100 are:</w:t>
            </w:r>
          </w:p>
          <w:p>
            <w:pPr>
              <w:pStyle w:val="TableParagraph"/>
              <w:numPr>
                <w:ilvl w:val="0"/>
                <w:numId w:val="8"/>
              </w:numPr>
              <w:tabs>
                <w:tab w:pos="827" w:val="left" w:leader="none"/>
                <w:tab w:pos="828" w:val="left" w:leader="none"/>
              </w:tabs>
              <w:spacing w:line="240" w:lineRule="auto" w:before="201" w:after="0"/>
              <w:ind w:left="827" w:right="0" w:hanging="360"/>
              <w:jc w:val="left"/>
              <w:rPr>
                <w:sz w:val="22"/>
              </w:rPr>
            </w:pPr>
            <w:r>
              <w:rPr>
                <w:color w:val="252525"/>
                <w:sz w:val="22"/>
              </w:rPr>
              <w:t>State general fund:</w:t>
            </w:r>
            <w:r>
              <w:rPr>
                <w:color w:val="252525"/>
                <w:spacing w:val="-5"/>
                <w:sz w:val="22"/>
              </w:rPr>
              <w:t> </w:t>
            </w:r>
            <w:r>
              <w:rPr>
                <w:color w:val="252525"/>
                <w:sz w:val="22"/>
              </w:rPr>
              <w:t>$50.</w:t>
            </w:r>
          </w:p>
          <w:p>
            <w:pPr>
              <w:pStyle w:val="TableParagraph"/>
              <w:numPr>
                <w:ilvl w:val="0"/>
                <w:numId w:val="8"/>
              </w:numPr>
              <w:tabs>
                <w:tab w:pos="827" w:val="left" w:leader="none"/>
                <w:tab w:pos="828" w:val="left" w:leader="none"/>
              </w:tabs>
              <w:spacing w:line="240" w:lineRule="auto" w:before="39" w:after="0"/>
              <w:ind w:left="827" w:right="0" w:hanging="360"/>
              <w:jc w:val="left"/>
              <w:rPr>
                <w:sz w:val="22"/>
              </w:rPr>
            </w:pPr>
            <w:r>
              <w:rPr>
                <w:color w:val="252525"/>
                <w:sz w:val="22"/>
              </w:rPr>
              <w:t>Federal government:</w:t>
            </w:r>
            <w:r>
              <w:rPr>
                <w:color w:val="252525"/>
                <w:spacing w:val="-2"/>
                <w:sz w:val="22"/>
              </w:rPr>
              <w:t> </w:t>
            </w:r>
            <w:r>
              <w:rPr>
                <w:color w:val="252525"/>
                <w:sz w:val="22"/>
              </w:rPr>
              <w:t>$50.</w:t>
            </w:r>
          </w:p>
        </w:tc>
        <w:tc>
          <w:tcPr>
            <w:tcW w:w="4676" w:type="dxa"/>
          </w:tcPr>
          <w:p>
            <w:pPr>
              <w:pStyle w:val="TableParagraph"/>
              <w:spacing w:before="122"/>
              <w:ind w:left="107"/>
              <w:rPr>
                <w:b/>
                <w:i/>
                <w:sz w:val="22"/>
              </w:rPr>
            </w:pPr>
            <w:r>
              <w:rPr>
                <w:b/>
                <w:i/>
                <w:color w:val="252525"/>
                <w:sz w:val="22"/>
              </w:rPr>
              <w:t>With New 100 Percent FMAP:</w:t>
            </w:r>
          </w:p>
          <w:p>
            <w:pPr>
              <w:pStyle w:val="TableParagraph"/>
              <w:spacing w:before="4"/>
              <w:rPr>
                <w:sz w:val="20"/>
              </w:rPr>
            </w:pPr>
          </w:p>
          <w:p>
            <w:pPr>
              <w:pStyle w:val="TableParagraph"/>
              <w:spacing w:line="276" w:lineRule="auto"/>
              <w:ind w:left="107" w:right="211"/>
              <w:rPr>
                <w:sz w:val="22"/>
              </w:rPr>
            </w:pPr>
            <w:r>
              <w:rPr>
                <w:color w:val="252525"/>
                <w:sz w:val="22"/>
              </w:rPr>
              <w:t>Tribal clinic enters into care coordination agreement with non-tribal specialist. Tribal clinic refers AI/AN Medicaid-enrolled patient to non-tribal specialist. Specialist assesses patient and sends medical records to tribal clinic. Specialist bills HCA for $100. Even if the patient is covered by a Classic Medicaid program with 50 percent FMAP, the new 100 percent FMAP would now apply, and the sources of funds for the $100 are:</w:t>
            </w:r>
          </w:p>
          <w:p>
            <w:pPr>
              <w:pStyle w:val="TableParagraph"/>
              <w:numPr>
                <w:ilvl w:val="0"/>
                <w:numId w:val="9"/>
              </w:numPr>
              <w:tabs>
                <w:tab w:pos="827" w:val="left" w:leader="none"/>
                <w:tab w:pos="828" w:val="left" w:leader="none"/>
              </w:tabs>
              <w:spacing w:line="240" w:lineRule="auto" w:before="200" w:after="0"/>
              <w:ind w:left="827" w:right="0" w:hanging="360"/>
              <w:jc w:val="left"/>
              <w:rPr>
                <w:sz w:val="22"/>
              </w:rPr>
            </w:pPr>
            <w:r>
              <w:rPr>
                <w:color w:val="252525"/>
                <w:sz w:val="22"/>
              </w:rPr>
              <w:t>State general fund:</w:t>
            </w:r>
            <w:r>
              <w:rPr>
                <w:color w:val="252525"/>
                <w:spacing w:val="-5"/>
                <w:sz w:val="22"/>
              </w:rPr>
              <w:t> </w:t>
            </w:r>
            <w:r>
              <w:rPr>
                <w:color w:val="252525"/>
                <w:sz w:val="22"/>
              </w:rPr>
              <w:t>$—.</w:t>
            </w:r>
          </w:p>
          <w:p>
            <w:pPr>
              <w:pStyle w:val="TableParagraph"/>
              <w:numPr>
                <w:ilvl w:val="0"/>
                <w:numId w:val="9"/>
              </w:numPr>
              <w:tabs>
                <w:tab w:pos="827" w:val="left" w:leader="none"/>
                <w:tab w:pos="828" w:val="left" w:leader="none"/>
              </w:tabs>
              <w:spacing w:line="240" w:lineRule="auto" w:before="40" w:after="0"/>
              <w:ind w:left="827" w:right="0" w:hanging="360"/>
              <w:jc w:val="left"/>
              <w:rPr>
                <w:sz w:val="22"/>
              </w:rPr>
            </w:pPr>
            <w:r>
              <w:rPr>
                <w:color w:val="252525"/>
                <w:sz w:val="22"/>
              </w:rPr>
              <w:t>Federal government:</w:t>
            </w:r>
            <w:r>
              <w:rPr>
                <w:color w:val="252525"/>
                <w:spacing w:val="-2"/>
                <w:sz w:val="22"/>
              </w:rPr>
              <w:t> </w:t>
            </w:r>
            <w:r>
              <w:rPr>
                <w:color w:val="252525"/>
                <w:sz w:val="22"/>
              </w:rPr>
              <w:t>$100.</w:t>
            </w:r>
          </w:p>
        </w:tc>
      </w:tr>
      <w:tr>
        <w:trPr>
          <w:trHeight w:val="832" w:hRule="atLeast"/>
        </w:trPr>
        <w:tc>
          <w:tcPr>
            <w:tcW w:w="9352" w:type="dxa"/>
            <w:gridSpan w:val="3"/>
          </w:tcPr>
          <w:p>
            <w:pPr>
              <w:pStyle w:val="TableParagraph"/>
              <w:spacing w:line="278" w:lineRule="auto" w:before="122"/>
              <w:ind w:left="107" w:right="148"/>
              <w:rPr>
                <w:sz w:val="22"/>
              </w:rPr>
            </w:pPr>
            <w:r>
              <w:rPr>
                <w:color w:val="252525"/>
                <w:sz w:val="22"/>
              </w:rPr>
              <w:t>Compliance with the requirements for the new CMS policy for the new 100 percent FMAP results in a transfer of $50 in Medicaid costs from the state general fund to the federal government.</w:t>
            </w:r>
          </w:p>
        </w:tc>
      </w:tr>
    </w:tbl>
    <w:p>
      <w:pPr>
        <w:pStyle w:val="Heading2"/>
        <w:spacing w:before="203"/>
      </w:pPr>
      <w:bookmarkStart w:name="_bookmark10" w:id="11"/>
      <w:bookmarkEnd w:id="11"/>
      <w:r>
        <w:rPr>
          <w:b w:val="0"/>
        </w:rPr>
      </w:r>
      <w:r>
        <w:rPr>
          <w:color w:val="CF9F52"/>
        </w:rPr>
        <w:t>Estimates for Potential Savings to State General Fund</w:t>
      </w:r>
    </w:p>
    <w:p>
      <w:pPr>
        <w:pStyle w:val="BodyText"/>
        <w:spacing w:line="276" w:lineRule="auto" w:before="193"/>
        <w:ind w:left="820" w:right="725"/>
      </w:pPr>
      <w:r>
        <w:rPr/>
        <w:t>Using Washington State Medicaid data, HCA has prepared three projection scenarios — pessimistic, baseline, and optimistic — in Chart 2 of the amounts of new savings to the state general fund that may be achieved as a result of the new 100 percent FMAP. To achieve these savings to the state general fund, tribes and IHS facilities will need to:</w:t>
      </w:r>
    </w:p>
    <w:p>
      <w:pPr>
        <w:pStyle w:val="ListParagraph"/>
        <w:numPr>
          <w:ilvl w:val="1"/>
          <w:numId w:val="4"/>
        </w:numPr>
        <w:tabs>
          <w:tab w:pos="1540" w:val="left" w:leader="none"/>
          <w:tab w:pos="1541" w:val="left" w:leader="none"/>
        </w:tabs>
        <w:spacing w:line="273" w:lineRule="auto" w:before="200" w:after="0"/>
        <w:ind w:left="1540" w:right="1517" w:hanging="360"/>
        <w:jc w:val="left"/>
        <w:rPr>
          <w:rFonts w:ascii="Symbol" w:hAnsi="Symbol"/>
          <w:sz w:val="22"/>
        </w:rPr>
      </w:pPr>
      <w:r>
        <w:rPr>
          <w:rFonts w:ascii="Cambria" w:hAnsi="Cambria"/>
          <w:sz w:val="22"/>
        </w:rPr>
        <w:t>Enter into an estimated 300 care coordination agreements with non-tribal, non-IHS providers;</w:t>
      </w:r>
    </w:p>
    <w:p>
      <w:pPr>
        <w:pStyle w:val="ListParagraph"/>
        <w:numPr>
          <w:ilvl w:val="1"/>
          <w:numId w:val="4"/>
        </w:numPr>
        <w:tabs>
          <w:tab w:pos="1540" w:val="left" w:leader="none"/>
          <w:tab w:pos="1541" w:val="left" w:leader="none"/>
        </w:tabs>
        <w:spacing w:line="276" w:lineRule="auto" w:before="3" w:after="0"/>
        <w:ind w:left="1540" w:right="792" w:hanging="360"/>
        <w:jc w:val="left"/>
        <w:rPr>
          <w:rFonts w:ascii="Symbol" w:hAnsi="Symbol"/>
          <w:color w:val="252525"/>
          <w:sz w:val="22"/>
        </w:rPr>
      </w:pPr>
      <w:r>
        <w:rPr>
          <w:rFonts w:ascii="Cambria" w:hAnsi="Cambria"/>
          <w:color w:val="252525"/>
          <w:sz w:val="22"/>
        </w:rPr>
        <w:t>Develop processes and staffing to refer clients to non-tribal, non-IHS providers under these care coordination</w:t>
      </w:r>
      <w:r>
        <w:rPr>
          <w:rFonts w:ascii="Cambria" w:hAnsi="Cambria"/>
          <w:color w:val="252525"/>
          <w:spacing w:val="-5"/>
          <w:sz w:val="22"/>
        </w:rPr>
        <w:t> </w:t>
      </w:r>
      <w:r>
        <w:rPr>
          <w:rFonts w:ascii="Cambria" w:hAnsi="Cambria"/>
          <w:color w:val="252525"/>
          <w:sz w:val="22"/>
        </w:rPr>
        <w:t>agreements;</w:t>
      </w:r>
    </w:p>
    <w:p>
      <w:pPr>
        <w:pStyle w:val="ListParagraph"/>
        <w:numPr>
          <w:ilvl w:val="1"/>
          <w:numId w:val="4"/>
        </w:numPr>
        <w:tabs>
          <w:tab w:pos="1540" w:val="left" w:leader="none"/>
          <w:tab w:pos="1541" w:val="left" w:leader="none"/>
        </w:tabs>
        <w:spacing w:line="276" w:lineRule="auto" w:before="0" w:after="0"/>
        <w:ind w:left="1540" w:right="1551" w:hanging="360"/>
        <w:jc w:val="left"/>
        <w:rPr>
          <w:rFonts w:ascii="Symbol" w:hAnsi="Symbol"/>
          <w:color w:val="252525"/>
          <w:sz w:val="22"/>
        </w:rPr>
      </w:pPr>
      <w:r>
        <w:rPr>
          <w:rFonts w:ascii="Cambria" w:hAnsi="Cambria"/>
          <w:color w:val="252525"/>
          <w:sz w:val="22"/>
        </w:rPr>
        <w:t>Develop processes and staffing to receive medical records from non-tribal, non-IHS providers and incorporate those records into the client medical records;</w:t>
      </w:r>
      <w:r>
        <w:rPr>
          <w:rFonts w:ascii="Cambria" w:hAnsi="Cambria"/>
          <w:color w:val="252525"/>
          <w:spacing w:val="-14"/>
          <w:sz w:val="22"/>
        </w:rPr>
        <w:t> </w:t>
      </w:r>
      <w:r>
        <w:rPr>
          <w:rFonts w:ascii="Cambria" w:hAnsi="Cambria"/>
          <w:color w:val="252525"/>
          <w:sz w:val="22"/>
        </w:rPr>
        <w:t>and</w:t>
      </w:r>
    </w:p>
    <w:p>
      <w:pPr>
        <w:pStyle w:val="ListParagraph"/>
        <w:numPr>
          <w:ilvl w:val="1"/>
          <w:numId w:val="4"/>
        </w:numPr>
        <w:tabs>
          <w:tab w:pos="1540" w:val="left" w:leader="none"/>
          <w:tab w:pos="1541" w:val="left" w:leader="none"/>
        </w:tabs>
        <w:spacing w:line="273" w:lineRule="auto" w:before="0" w:after="0"/>
        <w:ind w:left="1540" w:right="1244" w:hanging="360"/>
        <w:jc w:val="left"/>
        <w:rPr>
          <w:rFonts w:ascii="Symbol" w:hAnsi="Symbol"/>
          <w:color w:val="252525"/>
          <w:sz w:val="22"/>
        </w:rPr>
      </w:pPr>
      <w:r>
        <w:rPr>
          <w:rFonts w:ascii="Cambria" w:hAnsi="Cambria"/>
          <w:color w:val="252525"/>
          <w:sz w:val="22"/>
        </w:rPr>
        <w:t>Ensure action is taken on the health information received from the non-tribal, non-IHS providers.</w:t>
      </w:r>
    </w:p>
    <w:p>
      <w:pPr>
        <w:spacing w:after="0" w:line="273" w:lineRule="auto"/>
        <w:jc w:val="left"/>
        <w:rPr>
          <w:rFonts w:ascii="Symbol" w:hAnsi="Symbol"/>
          <w:sz w:val="22"/>
        </w:rPr>
        <w:sectPr>
          <w:pgSz w:w="12240" w:h="15840"/>
          <w:pgMar w:header="0" w:footer="1277" w:top="1360" w:bottom="1540" w:left="620" w:right="740"/>
        </w:sectPr>
      </w:pPr>
    </w:p>
    <w:tbl>
      <w:tblPr>
        <w:tblW w:w="0" w:type="auto"/>
        <w:jc w:val="left"/>
        <w:tblInd w:w="825" w:type="dxa"/>
        <w:tblBorders>
          <w:top w:val="single" w:sz="2" w:space="0" w:color="252525"/>
          <w:left w:val="single" w:sz="2" w:space="0" w:color="252525"/>
          <w:bottom w:val="single" w:sz="2" w:space="0" w:color="252525"/>
          <w:right w:val="single" w:sz="2" w:space="0" w:color="252525"/>
          <w:insideH w:val="single" w:sz="2" w:space="0" w:color="252525"/>
          <w:insideV w:val="single" w:sz="2" w:space="0" w:color="252525"/>
        </w:tblBorders>
        <w:tblLayout w:type="fixed"/>
        <w:tblCellMar>
          <w:top w:w="0" w:type="dxa"/>
          <w:left w:w="0" w:type="dxa"/>
          <w:bottom w:w="0" w:type="dxa"/>
          <w:right w:w="0" w:type="dxa"/>
        </w:tblCellMar>
        <w:tblLook w:val="01E0"/>
      </w:tblPr>
      <w:tblGrid>
        <w:gridCol w:w="1340"/>
        <w:gridCol w:w="1338"/>
        <w:gridCol w:w="1335"/>
        <w:gridCol w:w="1338"/>
        <w:gridCol w:w="1338"/>
        <w:gridCol w:w="1336"/>
        <w:gridCol w:w="1333"/>
      </w:tblGrid>
      <w:tr>
        <w:trPr>
          <w:trHeight w:val="3590" w:hRule="atLeast"/>
        </w:trPr>
        <w:tc>
          <w:tcPr>
            <w:tcW w:w="9358" w:type="dxa"/>
            <w:gridSpan w:val="7"/>
            <w:tcBorders>
              <w:bottom w:val="thickThinMediumGap" w:sz="2" w:space="0" w:color="000000"/>
            </w:tcBorders>
          </w:tcPr>
          <w:p>
            <w:pPr>
              <w:pStyle w:val="TableParagraph"/>
              <w:spacing w:before="145"/>
              <w:ind w:left="1939"/>
              <w:rPr>
                <w:sz w:val="28"/>
              </w:rPr>
            </w:pPr>
            <w:r>
              <w:rPr>
                <w:sz w:val="28"/>
              </w:rPr>
              <w:t>Chart 2: Savings to State General Fund by Year</w:t>
            </w:r>
          </w:p>
          <w:p>
            <w:pPr>
              <w:pStyle w:val="TableParagraph"/>
              <w:spacing w:before="136"/>
              <w:ind w:left="173"/>
              <w:rPr>
                <w:sz w:val="18"/>
              </w:rPr>
            </w:pPr>
            <w:r>
              <w:rPr>
                <w:sz w:val="18"/>
              </w:rPr>
              <w:t>$20,000,000</w:t>
            </w:r>
          </w:p>
          <w:p>
            <w:pPr>
              <w:pStyle w:val="TableParagraph"/>
              <w:spacing w:before="10"/>
              <w:rPr>
                <w:sz w:val="23"/>
              </w:rPr>
            </w:pPr>
          </w:p>
          <w:p>
            <w:pPr>
              <w:pStyle w:val="TableParagraph"/>
              <w:ind w:left="173"/>
              <w:rPr>
                <w:sz w:val="18"/>
              </w:rPr>
            </w:pPr>
            <w:r>
              <w:rPr>
                <w:sz w:val="18"/>
              </w:rPr>
              <w:t>$15,000,000</w:t>
            </w:r>
          </w:p>
          <w:p>
            <w:pPr>
              <w:pStyle w:val="TableParagraph"/>
              <w:spacing w:before="10"/>
              <w:rPr>
                <w:sz w:val="23"/>
              </w:rPr>
            </w:pPr>
          </w:p>
          <w:p>
            <w:pPr>
              <w:pStyle w:val="TableParagraph"/>
              <w:ind w:left="173"/>
              <w:rPr>
                <w:sz w:val="18"/>
              </w:rPr>
            </w:pPr>
            <w:r>
              <w:rPr>
                <w:sz w:val="18"/>
              </w:rPr>
              <w:t>$10,000,000</w:t>
            </w:r>
          </w:p>
          <w:p>
            <w:pPr>
              <w:pStyle w:val="TableParagraph"/>
              <w:spacing w:before="10"/>
              <w:rPr>
                <w:sz w:val="23"/>
              </w:rPr>
            </w:pPr>
          </w:p>
          <w:p>
            <w:pPr>
              <w:pStyle w:val="TableParagraph"/>
              <w:ind w:left="272"/>
              <w:rPr>
                <w:sz w:val="18"/>
              </w:rPr>
            </w:pPr>
            <w:r>
              <w:rPr>
                <w:sz w:val="18"/>
              </w:rPr>
              <w:t>$5,000,000</w:t>
            </w:r>
          </w:p>
          <w:p>
            <w:pPr>
              <w:pStyle w:val="TableParagraph"/>
              <w:spacing w:before="10"/>
              <w:rPr>
                <w:sz w:val="23"/>
              </w:rPr>
            </w:pPr>
          </w:p>
          <w:p>
            <w:pPr>
              <w:pStyle w:val="TableParagraph"/>
              <w:ind w:left="905"/>
              <w:rPr>
                <w:sz w:val="18"/>
              </w:rPr>
            </w:pPr>
            <w:r>
              <w:rPr>
                <w:sz w:val="18"/>
              </w:rPr>
              <w:t>$-</w:t>
            </w:r>
          </w:p>
          <w:p>
            <w:pPr>
              <w:pStyle w:val="TableParagraph"/>
              <w:tabs>
                <w:tab w:pos="2502" w:val="left" w:leader="none"/>
                <w:tab w:pos="3995" w:val="left" w:leader="none"/>
                <w:tab w:pos="5490" w:val="left" w:leader="none"/>
                <w:tab w:pos="6983" w:val="left" w:leader="none"/>
                <w:tab w:pos="8478" w:val="left" w:leader="none"/>
              </w:tabs>
              <w:spacing w:before="16"/>
              <w:ind w:left="1007"/>
              <w:rPr>
                <w:sz w:val="18"/>
              </w:rPr>
            </w:pPr>
            <w:r>
              <w:rPr>
                <w:sz w:val="18"/>
              </w:rPr>
              <w:t>2019-20</w:t>
              <w:tab/>
              <w:t>2020-21</w:t>
              <w:tab/>
              <w:t>2021-22</w:t>
              <w:tab/>
              <w:t>2022-23</w:t>
              <w:tab/>
              <w:t>2023-24</w:t>
              <w:tab/>
              <w:t>2024-25</w:t>
            </w:r>
          </w:p>
          <w:p>
            <w:pPr>
              <w:pStyle w:val="TableParagraph"/>
              <w:spacing w:before="5"/>
              <w:rPr>
                <w:sz w:val="15"/>
              </w:rPr>
            </w:pPr>
          </w:p>
          <w:p>
            <w:pPr>
              <w:pStyle w:val="TableParagraph"/>
              <w:tabs>
                <w:tab w:pos="4137" w:val="left" w:leader="none"/>
                <w:tab w:pos="5931" w:val="left" w:leader="none"/>
              </w:tabs>
              <w:ind w:left="2131"/>
              <w:rPr>
                <w:sz w:val="18"/>
              </w:rPr>
            </w:pPr>
            <w:r>
              <w:rPr>
                <w:sz w:val="18"/>
              </w:rPr>
              <w:t>Pessimistic</w:t>
            </w:r>
            <w:r>
              <w:rPr>
                <w:spacing w:val="-2"/>
                <w:sz w:val="18"/>
              </w:rPr>
              <w:t> </w:t>
            </w:r>
            <w:r>
              <w:rPr>
                <w:sz w:val="18"/>
              </w:rPr>
              <w:t>Scenario</w:t>
              <w:tab/>
              <w:t>Baseline</w:t>
            </w:r>
            <w:r>
              <w:rPr>
                <w:spacing w:val="-3"/>
                <w:sz w:val="18"/>
              </w:rPr>
              <w:t> </w:t>
            </w:r>
            <w:r>
              <w:rPr>
                <w:sz w:val="18"/>
              </w:rPr>
              <w:t>Scenario</w:t>
              <w:tab/>
              <w:t>Optimistic</w:t>
            </w:r>
            <w:r>
              <w:rPr>
                <w:spacing w:val="-2"/>
                <w:sz w:val="18"/>
              </w:rPr>
              <w:t> </w:t>
            </w:r>
            <w:r>
              <w:rPr>
                <w:sz w:val="18"/>
              </w:rPr>
              <w:t>Scenario</w:t>
            </w:r>
          </w:p>
        </w:tc>
      </w:tr>
      <w:tr>
        <w:trPr>
          <w:trHeight w:val="273" w:hRule="atLeast"/>
        </w:trPr>
        <w:tc>
          <w:tcPr>
            <w:tcW w:w="1340" w:type="dxa"/>
            <w:tcBorders>
              <w:top w:val="thinThickMediumGap" w:sz="2"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338"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63" w:right="163"/>
              <w:jc w:val="center"/>
              <w:rPr>
                <w:sz w:val="20"/>
              </w:rPr>
            </w:pPr>
            <w:r>
              <w:rPr>
                <w:color w:val="252525"/>
                <w:sz w:val="20"/>
              </w:rPr>
              <w:t>2019-20</w:t>
            </w:r>
          </w:p>
        </w:tc>
        <w:tc>
          <w:tcPr>
            <w:tcW w:w="1335"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66" w:right="159"/>
              <w:jc w:val="center"/>
              <w:rPr>
                <w:sz w:val="20"/>
              </w:rPr>
            </w:pPr>
            <w:r>
              <w:rPr>
                <w:color w:val="252525"/>
                <w:sz w:val="20"/>
              </w:rPr>
              <w:t>2020-21</w:t>
            </w:r>
          </w:p>
        </w:tc>
        <w:tc>
          <w:tcPr>
            <w:tcW w:w="1338"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64" w:right="162"/>
              <w:jc w:val="center"/>
              <w:rPr>
                <w:sz w:val="20"/>
              </w:rPr>
            </w:pPr>
            <w:r>
              <w:rPr>
                <w:color w:val="252525"/>
                <w:sz w:val="20"/>
              </w:rPr>
              <w:t>2021-22</w:t>
            </w:r>
          </w:p>
        </w:tc>
        <w:tc>
          <w:tcPr>
            <w:tcW w:w="1338"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64" w:right="163"/>
              <w:jc w:val="center"/>
              <w:rPr>
                <w:sz w:val="20"/>
              </w:rPr>
            </w:pPr>
            <w:r>
              <w:rPr>
                <w:color w:val="252525"/>
                <w:sz w:val="20"/>
              </w:rPr>
              <w:t>2022-23</w:t>
            </w:r>
          </w:p>
        </w:tc>
        <w:tc>
          <w:tcPr>
            <w:tcW w:w="1336"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08" w:right="108"/>
              <w:jc w:val="center"/>
              <w:rPr>
                <w:sz w:val="20"/>
              </w:rPr>
            </w:pPr>
            <w:r>
              <w:rPr>
                <w:color w:val="252525"/>
                <w:sz w:val="20"/>
              </w:rPr>
              <w:t>2023-24</w:t>
            </w:r>
          </w:p>
        </w:tc>
        <w:tc>
          <w:tcPr>
            <w:tcW w:w="1333" w:type="dxa"/>
            <w:tcBorders>
              <w:top w:val="thinThickMediumGap" w:sz="2" w:space="0" w:color="000000"/>
              <w:left w:val="single" w:sz="4" w:space="0" w:color="000000"/>
              <w:bottom w:val="single" w:sz="4" w:space="0" w:color="000000"/>
              <w:right w:val="single" w:sz="4" w:space="0" w:color="000000"/>
            </w:tcBorders>
          </w:tcPr>
          <w:p>
            <w:pPr>
              <w:pStyle w:val="TableParagraph"/>
              <w:spacing w:line="234" w:lineRule="exact"/>
              <w:ind w:left="106" w:right="105"/>
              <w:jc w:val="center"/>
              <w:rPr>
                <w:sz w:val="20"/>
              </w:rPr>
            </w:pPr>
            <w:r>
              <w:rPr>
                <w:color w:val="252525"/>
                <w:sz w:val="20"/>
              </w:rPr>
              <w:t>2024-25</w:t>
            </w:r>
          </w:p>
        </w:tc>
      </w:tr>
      <w:tr>
        <w:trPr>
          <w:trHeight w:val="268" w:hRule="atLeast"/>
        </w:trPr>
        <w:tc>
          <w:tcPr>
            <w:tcW w:w="1340"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70" w:right="162"/>
              <w:jc w:val="center"/>
              <w:rPr>
                <w:sz w:val="20"/>
              </w:rPr>
            </w:pPr>
            <w:r>
              <w:rPr>
                <w:color w:val="252525"/>
                <w:sz w:val="20"/>
              </w:rPr>
              <w:t>Pessimistic</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0"/>
              <w:jc w:val="center"/>
              <w:rPr>
                <w:sz w:val="20"/>
              </w:rPr>
            </w:pPr>
            <w:r>
              <w:rPr>
                <w:color w:val="252525"/>
                <w:sz w:val="20"/>
              </w:rPr>
              <w:t>$-</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0"/>
              <w:jc w:val="center"/>
              <w:rPr>
                <w:sz w:val="20"/>
              </w:rPr>
            </w:pPr>
            <w:r>
              <w:rPr>
                <w:color w:val="252525"/>
                <w:sz w:val="20"/>
              </w:rPr>
              <w:t>$455,095</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2"/>
              <w:jc w:val="center"/>
              <w:rPr>
                <w:sz w:val="20"/>
              </w:rPr>
            </w:pPr>
            <w:r>
              <w:rPr>
                <w:color w:val="252525"/>
                <w:sz w:val="20"/>
              </w:rPr>
              <w:t>$1,014,725</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3" w:right="163"/>
              <w:jc w:val="center"/>
              <w:rPr>
                <w:sz w:val="20"/>
              </w:rPr>
            </w:pPr>
            <w:r>
              <w:rPr>
                <w:color w:val="252525"/>
                <w:sz w:val="20"/>
              </w:rPr>
              <w:t>$1,604,995</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8" w:right="108"/>
              <w:jc w:val="center"/>
              <w:rPr>
                <w:sz w:val="20"/>
              </w:rPr>
            </w:pPr>
            <w:r>
              <w:rPr>
                <w:color w:val="252525"/>
                <w:sz w:val="20"/>
              </w:rPr>
              <w:t>$2,195,265</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6" w:right="105"/>
              <w:jc w:val="center"/>
              <w:rPr>
                <w:sz w:val="20"/>
              </w:rPr>
            </w:pPr>
            <w:r>
              <w:rPr>
                <w:color w:val="252525"/>
                <w:sz w:val="20"/>
              </w:rPr>
              <w:t>$2,785,534</w:t>
            </w:r>
          </w:p>
        </w:tc>
      </w:tr>
      <w:tr>
        <w:trPr>
          <w:trHeight w:val="270" w:hRule="atLeast"/>
        </w:trPr>
        <w:tc>
          <w:tcPr>
            <w:tcW w:w="1340"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70" w:right="160"/>
              <w:jc w:val="center"/>
              <w:rPr>
                <w:sz w:val="20"/>
              </w:rPr>
            </w:pPr>
            <w:r>
              <w:rPr>
                <w:color w:val="252525"/>
                <w:sz w:val="20"/>
              </w:rPr>
              <w:t>Baseline</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0"/>
              <w:jc w:val="center"/>
              <w:rPr>
                <w:sz w:val="20"/>
              </w:rPr>
            </w:pPr>
            <w:r>
              <w:rPr>
                <w:color w:val="252525"/>
                <w:sz w:val="20"/>
              </w:rPr>
              <w:t>$-</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0"/>
              <w:jc w:val="center"/>
              <w:rPr>
                <w:sz w:val="20"/>
              </w:rPr>
            </w:pPr>
            <w:r>
              <w:rPr>
                <w:color w:val="252525"/>
                <w:sz w:val="20"/>
              </w:rPr>
              <w:t>$910,191</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2"/>
              <w:jc w:val="center"/>
              <w:rPr>
                <w:sz w:val="20"/>
              </w:rPr>
            </w:pPr>
            <w:r>
              <w:rPr>
                <w:color w:val="252525"/>
                <w:sz w:val="20"/>
              </w:rPr>
              <w:t>$2,081,717</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3" w:right="163"/>
              <w:jc w:val="center"/>
              <w:rPr>
                <w:sz w:val="20"/>
              </w:rPr>
            </w:pPr>
            <w:r>
              <w:rPr>
                <w:color w:val="252525"/>
                <w:sz w:val="20"/>
              </w:rPr>
              <w:t>$3,314,524</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8" w:right="108"/>
              <w:jc w:val="center"/>
              <w:rPr>
                <w:sz w:val="20"/>
              </w:rPr>
            </w:pPr>
            <w:r>
              <w:rPr>
                <w:color w:val="252525"/>
                <w:sz w:val="20"/>
              </w:rPr>
              <w:t>$4,547,331</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6" w:right="105"/>
              <w:jc w:val="center"/>
              <w:rPr>
                <w:sz w:val="20"/>
              </w:rPr>
            </w:pPr>
            <w:r>
              <w:rPr>
                <w:color w:val="252525"/>
                <w:sz w:val="20"/>
              </w:rPr>
              <w:t>$5,780,137</w:t>
            </w:r>
          </w:p>
        </w:tc>
      </w:tr>
      <w:tr>
        <w:trPr>
          <w:trHeight w:val="268" w:hRule="atLeast"/>
        </w:trPr>
        <w:tc>
          <w:tcPr>
            <w:tcW w:w="1340"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70" w:right="162"/>
              <w:jc w:val="center"/>
              <w:rPr>
                <w:sz w:val="20"/>
              </w:rPr>
            </w:pPr>
            <w:r>
              <w:rPr>
                <w:color w:val="252525"/>
                <w:sz w:val="20"/>
              </w:rPr>
              <w:t>Optimistic</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0"/>
              <w:jc w:val="center"/>
              <w:rPr>
                <w:sz w:val="20"/>
              </w:rPr>
            </w:pPr>
            <w:r>
              <w:rPr>
                <w:color w:val="252525"/>
                <w:sz w:val="20"/>
              </w:rPr>
              <w:t>$-</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6" w:right="160"/>
              <w:jc w:val="center"/>
              <w:rPr>
                <w:sz w:val="20"/>
              </w:rPr>
            </w:pPr>
            <w:r>
              <w:rPr>
                <w:color w:val="252525"/>
                <w:sz w:val="20"/>
              </w:rPr>
              <w:t>$1,820,381</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4" w:right="162"/>
              <w:jc w:val="center"/>
              <w:rPr>
                <w:sz w:val="20"/>
              </w:rPr>
            </w:pPr>
            <w:r>
              <w:rPr>
                <w:color w:val="252525"/>
                <w:sz w:val="20"/>
              </w:rPr>
              <w:t>$5,141,201</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63" w:right="163"/>
              <w:jc w:val="center"/>
              <w:rPr>
                <w:sz w:val="20"/>
              </w:rPr>
            </w:pPr>
            <w:r>
              <w:rPr>
                <w:color w:val="252525"/>
                <w:sz w:val="20"/>
              </w:rPr>
              <w:t>$9,791,255</w:t>
            </w:r>
          </w:p>
        </w:tc>
        <w:tc>
          <w:tcPr>
            <w:tcW w:w="1336"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8" w:right="108"/>
              <w:jc w:val="center"/>
              <w:rPr>
                <w:sz w:val="20"/>
              </w:rPr>
            </w:pPr>
            <w:r>
              <w:rPr>
                <w:color w:val="252525"/>
                <w:sz w:val="20"/>
              </w:rPr>
              <w:t>$14,400,751</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06" w:right="107"/>
              <w:jc w:val="center"/>
              <w:rPr>
                <w:sz w:val="20"/>
              </w:rPr>
            </w:pPr>
            <w:r>
              <w:rPr>
                <w:color w:val="252525"/>
                <w:sz w:val="20"/>
              </w:rPr>
              <w:t>$16,626,635</w:t>
            </w:r>
          </w:p>
        </w:tc>
      </w:tr>
      <w:tr>
        <w:trPr>
          <w:trHeight w:val="270" w:hRule="atLeast"/>
        </w:trPr>
        <w:tc>
          <w:tcPr>
            <w:tcW w:w="9358" w:type="dxa"/>
            <w:gridSpan w:val="7"/>
            <w:tcBorders>
              <w:top w:val="single" w:sz="4" w:space="0" w:color="000000"/>
              <w:left w:val="single" w:sz="4" w:space="0" w:color="000000"/>
              <w:bottom w:val="single" w:sz="4" w:space="0" w:color="000000"/>
              <w:right w:val="single" w:sz="4" w:space="0" w:color="000000"/>
            </w:tcBorders>
          </w:tcPr>
          <w:p>
            <w:pPr>
              <w:pStyle w:val="TableParagraph"/>
              <w:spacing w:line="231" w:lineRule="exact"/>
              <w:ind w:left="113"/>
              <w:rPr>
                <w:sz w:val="20"/>
              </w:rPr>
            </w:pPr>
            <w:r>
              <w:rPr>
                <w:color w:val="252525"/>
                <w:sz w:val="20"/>
              </w:rPr>
              <w:t>Data generated from 2017 HCA Medicaid claims applied to three penetration rate models.</w:t>
            </w:r>
          </w:p>
        </w:tc>
      </w:tr>
    </w:tbl>
    <w:p>
      <w:pPr>
        <w:pStyle w:val="BodyText"/>
      </w:pPr>
      <w:r>
        <w:rPr/>
        <w:pict>
          <v:group style="position:absolute;margin-left:138.335007pt;margin-top:124.959999pt;width:374.2pt;height:84.4pt;mso-position-horizontal-relative:page;mso-position-vertical-relative:page;z-index:-40624" coordorigin="2767,2499" coordsize="7484,1688">
            <v:line style="position:absolute" from="2774,3641" to="10243,3641" stroked="true" strokeweight=".75pt" strokecolor="#dedede">
              <v:stroke dashstyle="solid"/>
            </v:line>
            <v:shape style="position:absolute;left:2774;top:3856;width:7469;height:274" coordorigin="2774,3857" coordsize="7469,274" path="m10243,3857l2774,4130,10243,4130,10243,3857xe" filled="true" fillcolor="#1c629f" stroked="false">
              <v:path arrowok="t"/>
              <v:fill type="solid"/>
            </v:shape>
            <v:shape style="position:absolute;left:2774;top:3289;width:7469;height:841" coordorigin="2774,3290" coordsize="7469,841" path="m10243,3290l5762,3826,4267,4042,2774,4130,10243,3857,10243,3290xe" filled="true" fillcolor="#8bc540" stroked="false">
              <v:path arrowok="t"/>
              <v:fill type="solid"/>
            </v:shape>
            <v:shape style="position:absolute;left:2774;top:2659;width:7469;height:490" coordorigin="2774,2659" coordsize="7469,490" path="m2774,3149l10243,3149m2774,2659l10243,2659e" filled="false" stroked="true" strokeweight=".75pt" strokecolor="#dedede">
              <v:path arrowok="t"/>
              <v:stroke dashstyle="solid"/>
            </v:shape>
            <v:shape style="position:absolute;left:2774;top:2499;width:7469;height:1631" coordorigin="2774,2499" coordsize="7469,1631" path="m10243,2499l8750,2717,5762,3626,4267,3950,2774,4130,4267,4042,5762,3826,10243,3290,10243,2499xe" filled="true" fillcolor="#fce07c" stroked="false">
              <v:path arrowok="t"/>
              <v:fill type="solid"/>
            </v:shape>
            <v:shape style="position:absolute;left:2774;top:4130;width:7469;height:57" coordorigin="2774,4130" coordsize="7469,57" path="m2774,4130l10243,4130m2774,4130l2774,4187m4267,4130l4267,4187m5762,4130l5762,4187m7255,4130l7255,4187m8750,4130l8750,4187m10243,4130l10243,4187e" filled="false" stroked="true" strokeweight=".75pt" strokecolor="#dedede">
              <v:path arrowok="t"/>
              <v:stroke dashstyle="solid"/>
            </v:shape>
            <w10:wrap type="none"/>
          </v:group>
        </w:pict>
      </w:r>
      <w:r>
        <w:rPr/>
        <w:pict>
          <v:line style="position:absolute;mso-position-horizontal-relative:page;mso-position-vertical-relative:page;z-index:-40600" from="138.710007pt,108.419998pt" to="512.150007pt,108.419998pt" stroked="true" strokeweight=".75pt" strokecolor="#dedede">
            <v:stroke dashstyle="solid"/>
            <w10:wrap type="none"/>
          </v:line>
        </w:pict>
      </w:r>
      <w:r>
        <w:rPr/>
        <w:pict>
          <v:rect style="position:absolute;margin-left:171.669998pt;margin-top:235.102493pt;width:4.747500pt;height:4.747500pt;mso-position-horizontal-relative:page;mso-position-vertical-relative:page;z-index:-40576" filled="true" fillcolor="#1c629f" stroked="false">
            <v:fill type="solid"/>
            <w10:wrap type="none"/>
          </v:rect>
        </w:pict>
      </w:r>
      <w:r>
        <w:rPr/>
        <w:pict>
          <v:rect style="position:absolute;margin-left:271.959991pt;margin-top:235.102493pt;width:4.747500pt;height:4.747500pt;mso-position-horizontal-relative:page;mso-position-vertical-relative:page;z-index:-40552" filled="true" fillcolor="#8bc540" stroked="false">
            <v:fill type="solid"/>
            <w10:wrap type="none"/>
          </v:rect>
        </w:pict>
      </w:r>
      <w:r>
        <w:rPr/>
        <w:pict>
          <v:rect style="position:absolute;margin-left:361.660004pt;margin-top:235.102493pt;width:4.747500pt;height:4.747500pt;mso-position-horizontal-relative:page;mso-position-vertical-relative:page;z-index:-40528" filled="true" fillcolor="#fce07c" stroked="false">
            <v:fill type="solid"/>
            <w10:wrap type="none"/>
          </v:rect>
        </w:pict>
      </w:r>
    </w:p>
    <w:p>
      <w:pPr>
        <w:pStyle w:val="BodyText"/>
        <w:spacing w:line="276" w:lineRule="auto" w:before="101"/>
        <w:ind w:left="820" w:right="787"/>
      </w:pPr>
      <w:r>
        <w:rPr>
          <w:color w:val="252525"/>
        </w:rPr>
        <w:t>As explained above, the state may not require tribes or IHS facilities to engage in these activities that would generate savings to the state general fund — even as a condition for participating in the Medicaid program. More detailed information on the fiscal estimates are provided in Appendix A. To encourage tribes and other providers to enter into these arrangements, HCA could provide technical assistance to increase understanding of the benefits to the state and to the patients from entering into care coordination agreements with IHS facilities and tribal facilities.</w:t>
      </w:r>
    </w:p>
    <w:p>
      <w:pPr>
        <w:pStyle w:val="BodyText"/>
        <w:spacing w:line="273" w:lineRule="auto" w:before="201"/>
        <w:ind w:left="820" w:right="728"/>
      </w:pPr>
      <w:r>
        <w:rPr>
          <w:color w:val="252525"/>
        </w:rPr>
        <w:t>The savings set forth in Chart 2, therefore, reflect two minimum investments out of the new savings to the state general fund to achieve the three scenarios shown:</w:t>
      </w:r>
    </w:p>
    <w:p>
      <w:pPr>
        <w:pStyle w:val="ListParagraph"/>
        <w:numPr>
          <w:ilvl w:val="0"/>
          <w:numId w:val="10"/>
        </w:numPr>
        <w:tabs>
          <w:tab w:pos="1591" w:val="left" w:leader="none"/>
        </w:tabs>
        <w:spacing w:line="276" w:lineRule="auto" w:before="204" w:after="0"/>
        <w:ind w:left="1590" w:right="1055" w:hanging="360"/>
        <w:jc w:val="left"/>
        <w:rPr>
          <w:rFonts w:ascii="Cambria"/>
          <w:sz w:val="22"/>
        </w:rPr>
      </w:pPr>
      <w:r>
        <w:rPr>
          <w:rFonts w:ascii="Cambria"/>
          <w:color w:val="252525"/>
          <w:sz w:val="22"/>
        </w:rPr>
        <w:t>The state appropriates sufficient funding (estimated at $366,000 per state fiscal year) beginning in July 2019 for HCA to hire four regional tribal liaisons</w:t>
      </w:r>
      <w:r>
        <w:rPr>
          <w:rFonts w:ascii="Cambria"/>
          <w:color w:val="252525"/>
          <w:position w:val="5"/>
          <w:sz w:val="14"/>
        </w:rPr>
        <w:t>29 </w:t>
      </w:r>
      <w:r>
        <w:rPr>
          <w:rFonts w:ascii="Cambria"/>
          <w:color w:val="252525"/>
          <w:sz w:val="22"/>
        </w:rPr>
        <w:t>to provide technical assistance to tribes, IHS facilities, and other providers throughout the state on the CMS requirements for the new 100 percent FMAP and monitoring for compliance with CMS requirements;</w:t>
      </w:r>
      <w:r>
        <w:rPr>
          <w:rFonts w:ascii="Cambria"/>
          <w:color w:val="252525"/>
          <w:spacing w:val="-2"/>
          <w:sz w:val="22"/>
        </w:rPr>
        <w:t> </w:t>
      </w:r>
      <w:r>
        <w:rPr>
          <w:rFonts w:ascii="Cambria"/>
          <w:color w:val="252525"/>
          <w:sz w:val="22"/>
        </w:rPr>
        <w:t>and</w:t>
      </w:r>
    </w:p>
    <w:p>
      <w:pPr>
        <w:pStyle w:val="ListParagraph"/>
        <w:numPr>
          <w:ilvl w:val="0"/>
          <w:numId w:val="10"/>
        </w:numPr>
        <w:tabs>
          <w:tab w:pos="1591" w:val="left" w:leader="none"/>
        </w:tabs>
        <w:spacing w:line="276" w:lineRule="auto" w:before="0" w:after="0"/>
        <w:ind w:left="1590" w:right="824" w:hanging="360"/>
        <w:jc w:val="left"/>
        <w:rPr>
          <w:rFonts w:ascii="Cambria"/>
          <w:sz w:val="22"/>
        </w:rPr>
      </w:pPr>
      <w:r>
        <w:rPr>
          <w:rFonts w:ascii="Cambria"/>
          <w:color w:val="252525"/>
          <w:sz w:val="22"/>
        </w:rPr>
        <w:t>The state provides a sufficient portion of the savings achieved from the new 100 percent FMAP</w:t>
      </w:r>
      <w:r>
        <w:rPr>
          <w:rFonts w:ascii="Cambria"/>
          <w:color w:val="252525"/>
          <w:spacing w:val="-4"/>
          <w:sz w:val="22"/>
        </w:rPr>
        <w:t> </w:t>
      </w:r>
      <w:r>
        <w:rPr>
          <w:rFonts w:ascii="Cambria"/>
          <w:color w:val="252525"/>
          <w:sz w:val="22"/>
        </w:rPr>
        <w:t>to</w:t>
      </w:r>
      <w:r>
        <w:rPr>
          <w:rFonts w:ascii="Cambria"/>
          <w:color w:val="252525"/>
          <w:spacing w:val="-3"/>
          <w:sz w:val="22"/>
        </w:rPr>
        <w:t> </w:t>
      </w:r>
      <w:r>
        <w:rPr>
          <w:rFonts w:ascii="Cambria"/>
          <w:color w:val="252525"/>
          <w:sz w:val="22"/>
        </w:rPr>
        <w:t>tribes</w:t>
      </w:r>
      <w:r>
        <w:rPr>
          <w:rFonts w:ascii="Cambria"/>
          <w:color w:val="252525"/>
          <w:spacing w:val="-1"/>
          <w:sz w:val="22"/>
        </w:rPr>
        <w:t> </w:t>
      </w:r>
      <w:r>
        <w:rPr>
          <w:rFonts w:ascii="Cambria"/>
          <w:color w:val="252525"/>
          <w:sz w:val="22"/>
        </w:rPr>
        <w:t>and</w:t>
      </w:r>
      <w:r>
        <w:rPr>
          <w:rFonts w:ascii="Cambria"/>
          <w:color w:val="252525"/>
          <w:spacing w:val="-3"/>
          <w:sz w:val="22"/>
        </w:rPr>
        <w:t> </w:t>
      </w:r>
      <w:r>
        <w:rPr>
          <w:rFonts w:ascii="Cambria"/>
          <w:color w:val="252525"/>
          <w:sz w:val="22"/>
        </w:rPr>
        <w:t>IHS</w:t>
      </w:r>
      <w:r>
        <w:rPr>
          <w:rFonts w:ascii="Cambria"/>
          <w:color w:val="252525"/>
          <w:spacing w:val="-2"/>
          <w:sz w:val="22"/>
        </w:rPr>
        <w:t> </w:t>
      </w:r>
      <w:r>
        <w:rPr>
          <w:rFonts w:ascii="Cambria"/>
          <w:color w:val="252525"/>
          <w:sz w:val="22"/>
        </w:rPr>
        <w:t>facilities</w:t>
      </w:r>
      <w:r>
        <w:rPr>
          <w:rFonts w:ascii="Cambria"/>
          <w:color w:val="252525"/>
          <w:spacing w:val="-1"/>
          <w:sz w:val="22"/>
        </w:rPr>
        <w:t> </w:t>
      </w:r>
      <w:r>
        <w:rPr>
          <w:rFonts w:ascii="Cambria"/>
          <w:color w:val="252525"/>
          <w:sz w:val="22"/>
        </w:rPr>
        <w:t>to</w:t>
      </w:r>
      <w:r>
        <w:rPr>
          <w:rFonts w:ascii="Cambria"/>
          <w:color w:val="252525"/>
          <w:spacing w:val="-5"/>
          <w:sz w:val="22"/>
        </w:rPr>
        <w:t> </w:t>
      </w:r>
      <w:r>
        <w:rPr>
          <w:rFonts w:ascii="Cambria"/>
          <w:color w:val="252525"/>
          <w:sz w:val="22"/>
        </w:rPr>
        <w:t>cover</w:t>
      </w:r>
      <w:r>
        <w:rPr>
          <w:rFonts w:ascii="Cambria"/>
          <w:color w:val="252525"/>
          <w:spacing w:val="-3"/>
          <w:sz w:val="22"/>
        </w:rPr>
        <w:t> </w:t>
      </w:r>
      <w:r>
        <w:rPr>
          <w:rFonts w:ascii="Cambria"/>
          <w:color w:val="252525"/>
          <w:sz w:val="22"/>
        </w:rPr>
        <w:t>their</w:t>
      </w:r>
      <w:r>
        <w:rPr>
          <w:rFonts w:ascii="Cambria"/>
          <w:color w:val="252525"/>
          <w:spacing w:val="-3"/>
          <w:sz w:val="22"/>
        </w:rPr>
        <w:t> </w:t>
      </w:r>
      <w:r>
        <w:rPr>
          <w:rFonts w:ascii="Cambria"/>
          <w:color w:val="252525"/>
          <w:sz w:val="22"/>
        </w:rPr>
        <w:t>administrative</w:t>
      </w:r>
      <w:r>
        <w:rPr>
          <w:rFonts w:ascii="Cambria"/>
          <w:color w:val="252525"/>
          <w:spacing w:val="-2"/>
          <w:sz w:val="22"/>
        </w:rPr>
        <w:t> </w:t>
      </w:r>
      <w:r>
        <w:rPr>
          <w:rFonts w:ascii="Cambria"/>
          <w:color w:val="252525"/>
          <w:sz w:val="22"/>
        </w:rPr>
        <w:t>costs</w:t>
      </w:r>
      <w:r>
        <w:rPr>
          <w:rFonts w:ascii="Cambria"/>
          <w:color w:val="252525"/>
          <w:spacing w:val="-1"/>
          <w:sz w:val="22"/>
        </w:rPr>
        <w:t> </w:t>
      </w:r>
      <w:r>
        <w:rPr>
          <w:rFonts w:ascii="Cambria"/>
          <w:color w:val="252525"/>
          <w:sz w:val="22"/>
        </w:rPr>
        <w:t>for</w:t>
      </w:r>
      <w:r>
        <w:rPr>
          <w:rFonts w:ascii="Cambria"/>
          <w:color w:val="252525"/>
          <w:spacing w:val="-5"/>
          <w:sz w:val="22"/>
        </w:rPr>
        <w:t> </w:t>
      </w:r>
      <w:r>
        <w:rPr>
          <w:rFonts w:ascii="Cambria"/>
          <w:color w:val="252525"/>
          <w:sz w:val="22"/>
        </w:rPr>
        <w:t>complying</w:t>
      </w:r>
      <w:r>
        <w:rPr>
          <w:rFonts w:ascii="Cambria"/>
          <w:color w:val="252525"/>
          <w:spacing w:val="-3"/>
          <w:sz w:val="22"/>
        </w:rPr>
        <w:t> </w:t>
      </w:r>
      <w:r>
        <w:rPr>
          <w:rFonts w:ascii="Cambria"/>
          <w:color w:val="252525"/>
          <w:sz w:val="22"/>
        </w:rPr>
        <w:t>with</w:t>
      </w:r>
      <w:r>
        <w:rPr>
          <w:rFonts w:ascii="Cambria"/>
          <w:color w:val="252525"/>
          <w:spacing w:val="-3"/>
          <w:sz w:val="22"/>
        </w:rPr>
        <w:t> </w:t>
      </w:r>
      <w:r>
        <w:rPr>
          <w:rFonts w:ascii="Cambria"/>
          <w:color w:val="252525"/>
          <w:sz w:val="22"/>
        </w:rPr>
        <w:t>the requirements for the new 100 percent FMAP (subject to federal</w:t>
      </w:r>
      <w:r>
        <w:rPr>
          <w:rFonts w:ascii="Cambria"/>
          <w:color w:val="252525"/>
          <w:spacing w:val="-12"/>
          <w:sz w:val="22"/>
        </w:rPr>
        <w:t> </w:t>
      </w:r>
      <w:r>
        <w:rPr>
          <w:rFonts w:ascii="Cambria"/>
          <w:color w:val="252525"/>
          <w:sz w:val="22"/>
        </w:rPr>
        <w:t>appropriations).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line style="position:absolute;mso-position-horizontal-relative:page;mso-position-vertical-relative:paragraph;z-index:8;mso-wrap-distance-left:0;mso-wrap-distance-right:0" from="72.024002pt,17.538809pt" to="216.044002pt,17.538809pt" stroked="true" strokeweight=".599980pt" strokecolor="#000000">
            <v:stroke dashstyle="solid"/>
            <w10:wrap type="topAndBottom"/>
          </v:line>
        </w:pict>
      </w:r>
    </w:p>
    <w:p>
      <w:pPr>
        <w:spacing w:before="64"/>
        <w:ind w:left="820" w:right="1142" w:firstLine="0"/>
        <w:jc w:val="left"/>
        <w:rPr>
          <w:sz w:val="20"/>
        </w:rPr>
      </w:pPr>
      <w:r>
        <w:rPr>
          <w:position w:val="5"/>
          <w:sz w:val="13"/>
        </w:rPr>
        <w:t>29 </w:t>
      </w:r>
      <w:r>
        <w:rPr>
          <w:sz w:val="20"/>
        </w:rPr>
        <w:t>See HCA decision package #37; during the tribal consultation with HCA on April 30, 2018, HCA and the tribes agreed for HCA to seek legislative approval for hiring four regional tribal liaisons.</w:t>
      </w:r>
    </w:p>
    <w:p>
      <w:pPr>
        <w:spacing w:after="0"/>
        <w:jc w:val="left"/>
        <w:rPr>
          <w:sz w:val="20"/>
        </w:rPr>
        <w:sectPr>
          <w:pgSz w:w="12240" w:h="15840"/>
          <w:pgMar w:header="0" w:footer="1277" w:top="1440" w:bottom="1460" w:left="620" w:right="740"/>
        </w:sectPr>
      </w:pPr>
    </w:p>
    <w:p>
      <w:pPr>
        <w:pStyle w:val="BodyText"/>
        <w:spacing w:line="276" w:lineRule="auto" w:before="82"/>
        <w:ind w:left="820" w:right="955"/>
      </w:pPr>
      <w:r>
        <w:rPr>
          <w:color w:val="252525"/>
        </w:rPr>
        <w:t>More significantly, as CMS wrote in the SHO letter, the new 100 percent FMAP is intended to help states, IHS, and tribes to improve delivery systems for AI/ANs by increasing access to care, strengthening continuity of care, and improving population health.</w:t>
      </w:r>
    </w:p>
    <w:p>
      <w:pPr>
        <w:pStyle w:val="BodyText"/>
        <w:spacing w:line="276" w:lineRule="auto" w:before="200"/>
        <w:ind w:left="820" w:right="940"/>
      </w:pPr>
      <w:r>
        <w:rPr/>
        <w:t>With so many AI/AN health disparities, the need to cover the administrative costs of IHS facilities and tribes, and ranges of potential new savings to the state general fund between $455,095 and</w:t>
      </w:r>
    </w:p>
    <w:p>
      <w:pPr>
        <w:pStyle w:val="BodyText"/>
        <w:spacing w:line="276" w:lineRule="auto"/>
        <w:ind w:left="820" w:right="786"/>
      </w:pPr>
      <w:r>
        <w:rPr/>
        <w:t>$1,820,381 in state fiscal year 2020–2021 and between $2,785,534 and $16,626,635 in state fiscal year 2024–2025, this is an opportune moment for the state focus on improving AI/AN health and health care, including creating a mechanism to capture the savings to the state general fund due to the new 100 percent FMAP. These savings could then be reinvested to increase access to care, strengthen continuity of care, and improve population health for AI/ANs throughout the state, and, in some cases, coordinating these efforts with tribes and urban Indian organizations and health programs in border states.</w:t>
      </w:r>
    </w:p>
    <w:p>
      <w:pPr>
        <w:pStyle w:val="BodyText"/>
        <w:spacing w:line="273" w:lineRule="auto" w:before="202"/>
        <w:ind w:left="820" w:right="1017"/>
      </w:pPr>
      <w:r>
        <w:rPr/>
        <w:t>To achieve these goals, the state should establish the Governor’s Indian Health Advisory Council, which will have the following roles:</w:t>
      </w:r>
    </w:p>
    <w:p>
      <w:pPr>
        <w:pStyle w:val="ListParagraph"/>
        <w:numPr>
          <w:ilvl w:val="1"/>
          <w:numId w:val="4"/>
        </w:numPr>
        <w:tabs>
          <w:tab w:pos="1540" w:val="left" w:leader="none"/>
          <w:tab w:pos="1541" w:val="left" w:leader="none"/>
        </w:tabs>
        <w:spacing w:line="276" w:lineRule="auto" w:before="204" w:after="0"/>
        <w:ind w:left="1540" w:right="1297" w:hanging="360"/>
        <w:jc w:val="left"/>
        <w:rPr>
          <w:rFonts w:ascii="Symbol" w:hAnsi="Symbol"/>
          <w:sz w:val="16"/>
        </w:rPr>
      </w:pPr>
      <w:r>
        <w:rPr>
          <w:rFonts w:ascii="Cambria" w:hAnsi="Cambria"/>
          <w:sz w:val="22"/>
        </w:rPr>
        <w:t>Serving as the principal advisory body to HCA and the Department of Health on issues related to health and health care for American Indians and Alaska</w:t>
      </w:r>
      <w:r>
        <w:rPr>
          <w:rFonts w:ascii="Cambria" w:hAnsi="Cambria"/>
          <w:spacing w:val="-12"/>
          <w:sz w:val="22"/>
        </w:rPr>
        <w:t> </w:t>
      </w:r>
      <w:r>
        <w:rPr>
          <w:rFonts w:ascii="Cambria" w:hAnsi="Cambria"/>
          <w:sz w:val="22"/>
        </w:rPr>
        <w:t>Natives;</w:t>
      </w:r>
    </w:p>
    <w:p>
      <w:pPr>
        <w:pStyle w:val="ListParagraph"/>
        <w:numPr>
          <w:ilvl w:val="1"/>
          <w:numId w:val="4"/>
        </w:numPr>
        <w:tabs>
          <w:tab w:pos="1540" w:val="left" w:leader="none"/>
          <w:tab w:pos="1541" w:val="left" w:leader="none"/>
        </w:tabs>
        <w:spacing w:line="276" w:lineRule="auto" w:before="0" w:after="0"/>
        <w:ind w:left="1540" w:right="958" w:hanging="360"/>
        <w:jc w:val="left"/>
        <w:rPr>
          <w:rFonts w:ascii="Symbol" w:hAnsi="Symbol"/>
          <w:sz w:val="16"/>
        </w:rPr>
      </w:pPr>
      <w:r>
        <w:rPr>
          <w:rFonts w:ascii="Cambria" w:hAnsi="Cambria"/>
          <w:sz w:val="22"/>
        </w:rPr>
        <w:t>Adopting a biennial Indian Health Advisory Plan, developed by the Reinvestment Committee of the Advisory Council comprised of Advisory Council members representing tribes and urban Indian</w:t>
      </w:r>
      <w:r>
        <w:rPr>
          <w:rFonts w:ascii="Cambria" w:hAnsi="Cambria"/>
          <w:spacing w:val="-8"/>
          <w:sz w:val="22"/>
        </w:rPr>
        <w:t> </w:t>
      </w:r>
      <w:r>
        <w:rPr>
          <w:rFonts w:ascii="Cambria" w:hAnsi="Cambria"/>
          <w:sz w:val="22"/>
        </w:rPr>
        <w:t>organizations;</w:t>
      </w:r>
    </w:p>
    <w:p>
      <w:pPr>
        <w:pStyle w:val="ListParagraph"/>
        <w:numPr>
          <w:ilvl w:val="1"/>
          <w:numId w:val="4"/>
        </w:numPr>
        <w:tabs>
          <w:tab w:pos="1540" w:val="left" w:leader="none"/>
          <w:tab w:pos="1541" w:val="left" w:leader="none"/>
        </w:tabs>
        <w:spacing w:line="276" w:lineRule="auto" w:before="0" w:after="0"/>
        <w:ind w:left="1540" w:right="1161" w:hanging="360"/>
        <w:jc w:val="left"/>
        <w:rPr>
          <w:rFonts w:ascii="Symbol" w:hAnsi="Symbol"/>
          <w:sz w:val="16"/>
        </w:rPr>
      </w:pPr>
      <w:r>
        <w:rPr>
          <w:rFonts w:ascii="Cambria" w:hAnsi="Cambria"/>
          <w:sz w:val="22"/>
        </w:rPr>
        <w:t>Addressing issues with tribal implications that are not able to be resolved at the agency level;</w:t>
      </w:r>
      <w:r>
        <w:rPr>
          <w:rFonts w:ascii="Cambria" w:hAnsi="Cambria"/>
          <w:spacing w:val="-2"/>
          <w:sz w:val="22"/>
        </w:rPr>
        <w:t> </w:t>
      </w:r>
      <w:r>
        <w:rPr>
          <w:rFonts w:ascii="Cambria" w:hAnsi="Cambria"/>
          <w:sz w:val="22"/>
        </w:rPr>
        <w:t>and</w:t>
      </w:r>
    </w:p>
    <w:p>
      <w:pPr>
        <w:pStyle w:val="ListParagraph"/>
        <w:numPr>
          <w:ilvl w:val="1"/>
          <w:numId w:val="4"/>
        </w:numPr>
        <w:tabs>
          <w:tab w:pos="1540" w:val="left" w:leader="none"/>
          <w:tab w:pos="1541" w:val="left" w:leader="none"/>
        </w:tabs>
        <w:spacing w:line="258" w:lineRule="exact" w:before="0" w:after="0"/>
        <w:ind w:left="1540" w:right="0" w:hanging="360"/>
        <w:jc w:val="left"/>
        <w:rPr>
          <w:rFonts w:ascii="Symbol" w:hAnsi="Symbol"/>
          <w:sz w:val="16"/>
        </w:rPr>
      </w:pPr>
      <w:r>
        <w:rPr>
          <w:rFonts w:ascii="Cambria" w:hAnsi="Cambria"/>
          <w:sz w:val="22"/>
        </w:rPr>
        <w:t>Provide oversight of the Indian Health Improvement Reinvestment</w:t>
      </w:r>
      <w:r>
        <w:rPr>
          <w:rFonts w:ascii="Cambria" w:hAnsi="Cambria"/>
          <w:spacing w:val="-10"/>
          <w:sz w:val="22"/>
        </w:rPr>
        <w:t> </w:t>
      </w:r>
      <w:r>
        <w:rPr>
          <w:rFonts w:ascii="Cambria" w:hAnsi="Cambria"/>
          <w:sz w:val="22"/>
        </w:rPr>
        <w:t>Account.</w:t>
      </w:r>
    </w:p>
    <w:p>
      <w:pPr>
        <w:pStyle w:val="BodyText"/>
        <w:spacing w:before="4"/>
        <w:rPr>
          <w:sz w:val="20"/>
        </w:rPr>
      </w:pPr>
    </w:p>
    <w:p>
      <w:pPr>
        <w:pStyle w:val="BodyText"/>
        <w:ind w:left="820"/>
      </w:pPr>
      <w:r>
        <w:rPr/>
        <w:t>The Indian Health Advisory Plan will include the following:</w:t>
      </w:r>
    </w:p>
    <w:p>
      <w:pPr>
        <w:pStyle w:val="BodyText"/>
        <w:spacing w:before="5"/>
        <w:rPr>
          <w:sz w:val="20"/>
        </w:rPr>
      </w:pPr>
    </w:p>
    <w:p>
      <w:pPr>
        <w:pStyle w:val="ListParagraph"/>
        <w:numPr>
          <w:ilvl w:val="1"/>
          <w:numId w:val="4"/>
        </w:numPr>
        <w:tabs>
          <w:tab w:pos="1540" w:val="left" w:leader="none"/>
          <w:tab w:pos="1541" w:val="left" w:leader="none"/>
        </w:tabs>
        <w:spacing w:line="240" w:lineRule="auto" w:before="0" w:after="0"/>
        <w:ind w:left="1540" w:right="0" w:hanging="360"/>
        <w:jc w:val="left"/>
        <w:rPr>
          <w:rFonts w:ascii="Symbol" w:hAnsi="Symbol"/>
          <w:sz w:val="16"/>
        </w:rPr>
      </w:pPr>
      <w:r>
        <w:rPr>
          <w:rFonts w:ascii="Cambria" w:hAnsi="Cambria"/>
          <w:sz w:val="22"/>
        </w:rPr>
        <w:t>An assessment of Indian health and Indian health care in the</w:t>
      </w:r>
      <w:r>
        <w:rPr>
          <w:rFonts w:ascii="Cambria" w:hAnsi="Cambria"/>
          <w:spacing w:val="-15"/>
          <w:sz w:val="22"/>
        </w:rPr>
        <w:t> </w:t>
      </w:r>
      <w:r>
        <w:rPr>
          <w:rFonts w:ascii="Cambria" w:hAnsi="Cambria"/>
          <w:sz w:val="22"/>
        </w:rPr>
        <w:t>state;</w:t>
      </w:r>
    </w:p>
    <w:p>
      <w:pPr>
        <w:pStyle w:val="ListParagraph"/>
        <w:numPr>
          <w:ilvl w:val="1"/>
          <w:numId w:val="4"/>
        </w:numPr>
        <w:tabs>
          <w:tab w:pos="1540" w:val="left" w:leader="none"/>
          <w:tab w:pos="1541" w:val="left" w:leader="none"/>
        </w:tabs>
        <w:spacing w:line="276" w:lineRule="auto" w:before="40" w:after="0"/>
        <w:ind w:left="1540" w:right="704" w:hanging="360"/>
        <w:jc w:val="left"/>
        <w:rPr>
          <w:rFonts w:ascii="Symbol" w:hAnsi="Symbol"/>
          <w:sz w:val="16"/>
        </w:rPr>
      </w:pPr>
      <w:r>
        <w:rPr>
          <w:rFonts w:ascii="Cambria" w:hAnsi="Cambria"/>
          <w:sz w:val="22"/>
        </w:rPr>
        <w:t>Specific recommendations for programs, projects, or activities, along with recommended reinvestment account expenditure amounts and priorities for expenditures, for the next two state fiscal bienniums;</w:t>
      </w:r>
      <w:r>
        <w:rPr>
          <w:rFonts w:ascii="Cambria" w:hAnsi="Cambria"/>
          <w:spacing w:val="-3"/>
          <w:sz w:val="22"/>
        </w:rPr>
        <w:t> </w:t>
      </w:r>
      <w:r>
        <w:rPr>
          <w:rFonts w:ascii="Cambria" w:hAnsi="Cambria"/>
          <w:sz w:val="22"/>
        </w:rPr>
        <w:t>and</w:t>
      </w:r>
    </w:p>
    <w:p>
      <w:pPr>
        <w:pStyle w:val="ListParagraph"/>
        <w:numPr>
          <w:ilvl w:val="1"/>
          <w:numId w:val="4"/>
        </w:numPr>
        <w:tabs>
          <w:tab w:pos="1540" w:val="left" w:leader="none"/>
          <w:tab w:pos="1541" w:val="left" w:leader="none"/>
        </w:tabs>
        <w:spacing w:line="276" w:lineRule="auto" w:before="0" w:after="0"/>
        <w:ind w:left="1540" w:right="965" w:hanging="360"/>
        <w:jc w:val="left"/>
        <w:rPr>
          <w:rFonts w:ascii="Symbol" w:hAnsi="Symbol"/>
          <w:sz w:val="16"/>
        </w:rPr>
      </w:pPr>
      <w:r>
        <w:rPr>
          <w:rFonts w:ascii="Cambria" w:hAnsi="Cambria"/>
          <w:sz w:val="22"/>
        </w:rPr>
        <w:t>A review of how programs, projects, or activities that have received investments from</w:t>
      </w:r>
      <w:r>
        <w:rPr>
          <w:rFonts w:ascii="Cambria" w:hAnsi="Cambria"/>
          <w:spacing w:val="-31"/>
          <w:sz w:val="22"/>
        </w:rPr>
        <w:t> </w:t>
      </w:r>
      <w:r>
        <w:rPr>
          <w:rFonts w:ascii="Cambria" w:hAnsi="Cambria"/>
          <w:sz w:val="22"/>
        </w:rPr>
        <w:t>the reinvestment account have or have not achieved the objectives and</w:t>
      </w:r>
      <w:r>
        <w:rPr>
          <w:rFonts w:ascii="Cambria" w:hAnsi="Cambria"/>
          <w:spacing w:val="-11"/>
          <w:sz w:val="22"/>
        </w:rPr>
        <w:t> </w:t>
      </w:r>
      <w:r>
        <w:rPr>
          <w:rFonts w:ascii="Cambria" w:hAnsi="Cambria"/>
          <w:sz w:val="22"/>
        </w:rPr>
        <w:t>why.</w:t>
      </w:r>
    </w:p>
    <w:p>
      <w:pPr>
        <w:pStyle w:val="BodyText"/>
        <w:spacing w:line="276" w:lineRule="auto" w:before="199"/>
        <w:ind w:left="820" w:right="716"/>
      </w:pPr>
      <w:r>
        <w:rPr>
          <w:color w:val="252525"/>
        </w:rPr>
        <w:t>In addition, the State Treasurer, in consultation with the Office of Financial Management, should establish the Indian Health Improvement Reinvestment Account. Savings from the new 100 percent FMAP, less administrative costs agreed upon by the state and tribes and urban Indian organizations and health programs, would be appropriated and deposited into this reinvestment account.</w:t>
      </w:r>
    </w:p>
    <w:p>
      <w:pPr>
        <w:spacing w:after="0" w:line="276" w:lineRule="auto"/>
        <w:sectPr>
          <w:pgSz w:w="12240" w:h="15840"/>
          <w:pgMar w:header="0" w:footer="1277" w:top="1360" w:bottom="1540" w:left="620" w:right="740"/>
        </w:sectPr>
      </w:pPr>
    </w:p>
    <w:p>
      <w:pPr>
        <w:pStyle w:val="Heading1"/>
        <w:spacing w:before="81"/>
      </w:pPr>
      <w:bookmarkStart w:name="_bookmark11" w:id="12"/>
      <w:bookmarkEnd w:id="12"/>
      <w:r>
        <w:rPr/>
      </w:r>
      <w:r>
        <w:rPr>
          <w:color w:val="1C629F"/>
        </w:rPr>
        <w:t>Recommendations</w:t>
      </w:r>
    </w:p>
    <w:p>
      <w:pPr>
        <w:pStyle w:val="BodyText"/>
        <w:spacing w:line="276" w:lineRule="auto" w:before="241"/>
        <w:ind w:left="820" w:right="840"/>
      </w:pPr>
      <w:r>
        <w:rPr/>
        <w:t>To improve Indian health care outcomes and begin to remedy long-standing health disparities, the Council makes the following recommendations:</w:t>
      </w:r>
    </w:p>
    <w:p>
      <w:pPr>
        <w:pStyle w:val="ListParagraph"/>
        <w:numPr>
          <w:ilvl w:val="1"/>
          <w:numId w:val="10"/>
        </w:numPr>
        <w:tabs>
          <w:tab w:pos="1541" w:val="left" w:leader="none"/>
        </w:tabs>
        <w:spacing w:line="273" w:lineRule="auto" w:before="201" w:after="0"/>
        <w:ind w:left="1540" w:right="792" w:hanging="360"/>
        <w:jc w:val="left"/>
        <w:rPr>
          <w:rFonts w:ascii="Cambria" w:hAnsi="Cambria"/>
          <w:sz w:val="22"/>
        </w:rPr>
      </w:pPr>
      <w:r>
        <w:rPr>
          <w:rFonts w:ascii="Cambria" w:hAnsi="Cambria"/>
          <w:b/>
          <w:sz w:val="22"/>
        </w:rPr>
        <w:t>Establish the Governor’s Indian Health Advisory Council. </w:t>
      </w:r>
      <w:r>
        <w:rPr>
          <w:rFonts w:ascii="Cambria" w:hAnsi="Cambria"/>
          <w:sz w:val="22"/>
        </w:rPr>
        <w:t>The state should establish the Governor’s Indian Health Advisory Council, consisting</w:t>
      </w:r>
      <w:r>
        <w:rPr>
          <w:rFonts w:ascii="Cambria" w:hAnsi="Cambria"/>
          <w:spacing w:val="-12"/>
          <w:sz w:val="22"/>
        </w:rPr>
        <w:t> </w:t>
      </w:r>
      <w:r>
        <w:rPr>
          <w:rFonts w:ascii="Cambria" w:hAnsi="Cambria"/>
          <w:sz w:val="22"/>
        </w:rPr>
        <w:t>of:</w:t>
      </w:r>
    </w:p>
    <w:p>
      <w:pPr>
        <w:pStyle w:val="ListParagraph"/>
        <w:numPr>
          <w:ilvl w:val="2"/>
          <w:numId w:val="10"/>
        </w:numPr>
        <w:tabs>
          <w:tab w:pos="2260" w:val="left" w:leader="none"/>
          <w:tab w:pos="2261" w:val="left" w:leader="none"/>
        </w:tabs>
        <w:spacing w:line="276" w:lineRule="auto" w:before="4" w:after="0"/>
        <w:ind w:left="2260" w:right="1169" w:hanging="360"/>
        <w:jc w:val="left"/>
        <w:rPr>
          <w:rFonts w:ascii="Cambria" w:hAnsi="Cambria"/>
          <w:sz w:val="22"/>
        </w:rPr>
      </w:pPr>
      <w:r>
        <w:rPr>
          <w:rFonts w:ascii="Cambria" w:hAnsi="Cambria"/>
          <w:sz w:val="22"/>
        </w:rPr>
        <w:t>Voting members representing the tribes, urban Indian organizations and health programs, the governor’s office, and the majority and minority caucuses of the House of Representatives and the Senate;</w:t>
      </w:r>
      <w:r>
        <w:rPr>
          <w:rFonts w:ascii="Cambria" w:hAnsi="Cambria"/>
          <w:spacing w:val="-6"/>
          <w:sz w:val="22"/>
        </w:rPr>
        <w:t> </w:t>
      </w:r>
      <w:r>
        <w:rPr>
          <w:rFonts w:ascii="Cambria" w:hAnsi="Cambria"/>
          <w:sz w:val="22"/>
        </w:rPr>
        <w:t>and</w:t>
      </w:r>
    </w:p>
    <w:p>
      <w:pPr>
        <w:pStyle w:val="ListParagraph"/>
        <w:numPr>
          <w:ilvl w:val="2"/>
          <w:numId w:val="10"/>
        </w:numPr>
        <w:tabs>
          <w:tab w:pos="2260" w:val="left" w:leader="none"/>
          <w:tab w:pos="2261" w:val="left" w:leader="none"/>
        </w:tabs>
        <w:spacing w:line="276" w:lineRule="auto" w:before="0" w:after="0"/>
        <w:ind w:left="2260" w:right="1150" w:hanging="360"/>
        <w:jc w:val="left"/>
        <w:rPr>
          <w:rFonts w:ascii="Cambria" w:hAnsi="Cambria"/>
          <w:sz w:val="22"/>
        </w:rPr>
      </w:pPr>
      <w:r>
        <w:rPr>
          <w:rFonts w:ascii="Cambria" w:hAnsi="Cambria"/>
          <w:sz w:val="22"/>
        </w:rPr>
        <w:t>Non-voting members representing the American Indian Health Commission for Washington State, the Northwest Portland Area Indian Health Board, the IHS Portland Area Office and Service Units, and the state agencies involved in</w:t>
      </w:r>
      <w:r>
        <w:rPr>
          <w:rFonts w:ascii="Cambria" w:hAnsi="Cambria"/>
          <w:spacing w:val="-32"/>
          <w:sz w:val="22"/>
        </w:rPr>
        <w:t> </w:t>
      </w:r>
      <w:r>
        <w:rPr>
          <w:rFonts w:ascii="Cambria" w:hAnsi="Cambria"/>
          <w:sz w:val="22"/>
        </w:rPr>
        <w:t>health care.</w:t>
      </w:r>
    </w:p>
    <w:p>
      <w:pPr>
        <w:pStyle w:val="BodyText"/>
        <w:spacing w:before="199"/>
        <w:ind w:left="1540"/>
      </w:pPr>
      <w:r>
        <w:rPr/>
        <w:t>The Governor’s Indian Health Advisory Council will:</w:t>
      </w:r>
    </w:p>
    <w:p>
      <w:pPr>
        <w:pStyle w:val="ListParagraph"/>
        <w:numPr>
          <w:ilvl w:val="2"/>
          <w:numId w:val="10"/>
        </w:numPr>
        <w:tabs>
          <w:tab w:pos="2260" w:val="left" w:leader="none"/>
          <w:tab w:pos="2261" w:val="left" w:leader="none"/>
        </w:tabs>
        <w:spacing w:line="276" w:lineRule="auto" w:before="37" w:after="0"/>
        <w:ind w:left="2260" w:right="1355" w:hanging="360"/>
        <w:jc w:val="left"/>
        <w:rPr>
          <w:rFonts w:ascii="Cambria" w:hAnsi="Cambria"/>
          <w:sz w:val="22"/>
        </w:rPr>
      </w:pPr>
      <w:r>
        <w:rPr>
          <w:rFonts w:ascii="Cambria" w:hAnsi="Cambria"/>
          <w:sz w:val="22"/>
        </w:rPr>
        <w:t>Adopt a biennial Indian Health Improvement Advisory Plan, developed by the reinvestment</w:t>
      </w:r>
      <w:r>
        <w:rPr>
          <w:rFonts w:ascii="Cambria" w:hAnsi="Cambria"/>
          <w:spacing w:val="-5"/>
          <w:sz w:val="22"/>
        </w:rPr>
        <w:t> </w:t>
      </w:r>
      <w:r>
        <w:rPr>
          <w:rFonts w:ascii="Cambria" w:hAnsi="Cambria"/>
          <w:sz w:val="22"/>
        </w:rPr>
        <w:t>committee;</w:t>
      </w:r>
    </w:p>
    <w:p>
      <w:pPr>
        <w:pStyle w:val="ListParagraph"/>
        <w:numPr>
          <w:ilvl w:val="2"/>
          <w:numId w:val="10"/>
        </w:numPr>
        <w:tabs>
          <w:tab w:pos="2260" w:val="left" w:leader="none"/>
          <w:tab w:pos="2261" w:val="left" w:leader="none"/>
        </w:tabs>
        <w:spacing w:line="276" w:lineRule="auto" w:before="0" w:after="0"/>
        <w:ind w:left="2260" w:right="729" w:hanging="360"/>
        <w:jc w:val="left"/>
        <w:rPr>
          <w:rFonts w:ascii="Cambria" w:hAnsi="Cambria"/>
          <w:sz w:val="22"/>
        </w:rPr>
      </w:pPr>
      <w:r>
        <w:rPr>
          <w:rFonts w:ascii="Cambria" w:hAnsi="Cambria"/>
          <w:sz w:val="22"/>
        </w:rPr>
        <w:t>Address issues with tribal implications that are not able to be resolved at the agency level;</w:t>
      </w:r>
      <w:r>
        <w:rPr>
          <w:rFonts w:ascii="Cambria" w:hAnsi="Cambria"/>
          <w:spacing w:val="-2"/>
          <w:sz w:val="22"/>
        </w:rPr>
        <w:t> </w:t>
      </w:r>
      <w:r>
        <w:rPr>
          <w:rFonts w:ascii="Cambria" w:hAnsi="Cambria"/>
          <w:sz w:val="22"/>
        </w:rPr>
        <w:t>and</w:t>
      </w:r>
    </w:p>
    <w:p>
      <w:pPr>
        <w:pStyle w:val="ListParagraph"/>
        <w:numPr>
          <w:ilvl w:val="2"/>
          <w:numId w:val="10"/>
        </w:numPr>
        <w:tabs>
          <w:tab w:pos="2260" w:val="left" w:leader="none"/>
          <w:tab w:pos="2261" w:val="left" w:leader="none"/>
        </w:tabs>
        <w:spacing w:line="240" w:lineRule="auto" w:before="0" w:after="0"/>
        <w:ind w:left="2260" w:right="0" w:hanging="360"/>
        <w:jc w:val="left"/>
        <w:rPr>
          <w:rFonts w:ascii="Cambria" w:hAnsi="Cambria"/>
          <w:sz w:val="22"/>
        </w:rPr>
      </w:pPr>
      <w:r>
        <w:rPr>
          <w:rFonts w:ascii="Cambria" w:hAnsi="Cambria"/>
          <w:sz w:val="22"/>
        </w:rPr>
        <w:t>Provide oversight of the Indian Health Improvement Reinvestment</w:t>
      </w:r>
      <w:r>
        <w:rPr>
          <w:rFonts w:ascii="Cambria" w:hAnsi="Cambria"/>
          <w:spacing w:val="-10"/>
          <w:sz w:val="22"/>
        </w:rPr>
        <w:t> </w:t>
      </w:r>
      <w:r>
        <w:rPr>
          <w:rFonts w:ascii="Cambria" w:hAnsi="Cambria"/>
          <w:sz w:val="22"/>
        </w:rPr>
        <w:t>Account.</w:t>
      </w:r>
    </w:p>
    <w:p>
      <w:pPr>
        <w:pStyle w:val="BodyText"/>
        <w:spacing w:before="2"/>
        <w:rPr>
          <w:sz w:val="20"/>
        </w:rPr>
      </w:pPr>
    </w:p>
    <w:p>
      <w:pPr>
        <w:pStyle w:val="BodyText"/>
        <w:ind w:left="1540"/>
      </w:pPr>
      <w:r>
        <w:rPr/>
        <w:t>The Indian Health Improvement Advisory Plan will include the following:</w:t>
      </w:r>
    </w:p>
    <w:p>
      <w:pPr>
        <w:pStyle w:val="ListParagraph"/>
        <w:numPr>
          <w:ilvl w:val="2"/>
          <w:numId w:val="10"/>
        </w:numPr>
        <w:tabs>
          <w:tab w:pos="2260" w:val="left" w:leader="none"/>
          <w:tab w:pos="2261" w:val="left" w:leader="none"/>
        </w:tabs>
        <w:spacing w:line="240" w:lineRule="auto" w:before="37" w:after="0"/>
        <w:ind w:left="2260" w:right="0" w:hanging="360"/>
        <w:jc w:val="left"/>
        <w:rPr>
          <w:rFonts w:ascii="Cambria" w:hAnsi="Cambria"/>
          <w:sz w:val="22"/>
        </w:rPr>
      </w:pPr>
      <w:r>
        <w:rPr>
          <w:rFonts w:ascii="Cambria" w:hAnsi="Cambria"/>
          <w:sz w:val="22"/>
        </w:rPr>
        <w:t>An assessment of Indian health and Indian health care in the</w:t>
      </w:r>
      <w:r>
        <w:rPr>
          <w:rFonts w:ascii="Cambria" w:hAnsi="Cambria"/>
          <w:spacing w:val="-15"/>
          <w:sz w:val="22"/>
        </w:rPr>
        <w:t> </w:t>
      </w:r>
      <w:r>
        <w:rPr>
          <w:rFonts w:ascii="Cambria" w:hAnsi="Cambria"/>
          <w:sz w:val="22"/>
        </w:rPr>
        <w:t>state;</w:t>
      </w:r>
    </w:p>
    <w:p>
      <w:pPr>
        <w:pStyle w:val="ListParagraph"/>
        <w:numPr>
          <w:ilvl w:val="2"/>
          <w:numId w:val="10"/>
        </w:numPr>
        <w:tabs>
          <w:tab w:pos="2260" w:val="left" w:leader="none"/>
          <w:tab w:pos="2261" w:val="left" w:leader="none"/>
        </w:tabs>
        <w:spacing w:line="276" w:lineRule="auto" w:before="40" w:after="0"/>
        <w:ind w:left="2260" w:right="1451" w:hanging="360"/>
        <w:jc w:val="left"/>
        <w:rPr>
          <w:rFonts w:ascii="Cambria" w:hAnsi="Cambria"/>
          <w:sz w:val="22"/>
        </w:rPr>
      </w:pPr>
      <w:r>
        <w:rPr>
          <w:rFonts w:ascii="Cambria" w:hAnsi="Cambria"/>
          <w:sz w:val="22"/>
        </w:rPr>
        <w:t>Specific recommendations for programs, projects, or activities, along with recommended reinvestment account expenditure amounts and priorities for expenditures, for the next two state fiscal bienniums;</w:t>
      </w:r>
      <w:r>
        <w:rPr>
          <w:rFonts w:ascii="Cambria" w:hAnsi="Cambria"/>
          <w:spacing w:val="-10"/>
          <w:sz w:val="22"/>
        </w:rPr>
        <w:t> </w:t>
      </w:r>
      <w:r>
        <w:rPr>
          <w:rFonts w:ascii="Cambria" w:hAnsi="Cambria"/>
          <w:sz w:val="22"/>
        </w:rPr>
        <w:t>and</w:t>
      </w:r>
    </w:p>
    <w:p>
      <w:pPr>
        <w:pStyle w:val="ListParagraph"/>
        <w:numPr>
          <w:ilvl w:val="2"/>
          <w:numId w:val="10"/>
        </w:numPr>
        <w:tabs>
          <w:tab w:pos="2260" w:val="left" w:leader="none"/>
          <w:tab w:pos="2261" w:val="left" w:leader="none"/>
        </w:tabs>
        <w:spacing w:line="273" w:lineRule="auto" w:before="0" w:after="0"/>
        <w:ind w:left="2260" w:right="956" w:hanging="360"/>
        <w:jc w:val="left"/>
        <w:rPr>
          <w:rFonts w:ascii="Cambria" w:hAnsi="Cambria"/>
          <w:sz w:val="22"/>
        </w:rPr>
      </w:pPr>
      <w:r>
        <w:rPr>
          <w:rFonts w:ascii="Cambria" w:hAnsi="Cambria"/>
          <w:sz w:val="22"/>
        </w:rPr>
        <w:t>A review of the successes and challenges of previously funded programs, projects, and</w:t>
      </w:r>
      <w:r>
        <w:rPr>
          <w:rFonts w:ascii="Cambria" w:hAnsi="Cambria"/>
          <w:spacing w:val="-2"/>
          <w:sz w:val="22"/>
        </w:rPr>
        <w:t> </w:t>
      </w:r>
      <w:r>
        <w:rPr>
          <w:rFonts w:ascii="Cambria" w:hAnsi="Cambria"/>
          <w:sz w:val="22"/>
        </w:rPr>
        <w:t>activities.</w:t>
      </w:r>
    </w:p>
    <w:p>
      <w:pPr>
        <w:pStyle w:val="BodyText"/>
        <w:spacing w:line="276" w:lineRule="auto" w:before="201"/>
        <w:ind w:left="1540" w:right="719"/>
      </w:pPr>
      <w:r>
        <w:rPr/>
        <w:t>In addition, the state should establish the Reinvestment Committee of the Governor’s Indian Health Advisory Council, consisting of the members of the Advisory Council representing the tribes and urban Indian organizations and health programs. The Reinvestment Committee will prepare and amend the Indian Health Improvement Advisory Plan, which will include recommendations for projects, programs, and activities and for amounts from the reinvestment account to improve the health and health care of American Indians and Alaska Natives.</w:t>
      </w:r>
    </w:p>
    <w:p>
      <w:pPr>
        <w:pStyle w:val="ListParagraph"/>
        <w:numPr>
          <w:ilvl w:val="1"/>
          <w:numId w:val="10"/>
        </w:numPr>
        <w:tabs>
          <w:tab w:pos="1541" w:val="left" w:leader="none"/>
        </w:tabs>
        <w:spacing w:line="276" w:lineRule="auto" w:before="202" w:after="0"/>
        <w:ind w:left="1540" w:right="803" w:hanging="360"/>
        <w:jc w:val="left"/>
        <w:rPr>
          <w:rFonts w:ascii="Cambria" w:hAnsi="Cambria"/>
          <w:sz w:val="22"/>
        </w:rPr>
      </w:pPr>
      <w:r>
        <w:rPr>
          <w:rFonts w:ascii="Cambria" w:hAnsi="Cambria"/>
          <w:b/>
          <w:sz w:val="22"/>
        </w:rPr>
        <w:t>Establish the Indian Health Improvement Reinvestment Account for Appropriations of New State Savings while Maintaining Fiscal Neutrality</w:t>
      </w:r>
      <w:r>
        <w:rPr>
          <w:rFonts w:ascii="Cambria" w:hAnsi="Cambria"/>
          <w:sz w:val="22"/>
        </w:rPr>
        <w:t>. The state should establish the Indian Health Improvement Reinvestment Account and appropriate and deposit into the account all of the savings due to the new 100 percent FMAP, subject to federal appropriations. To maintain fiscal neutrality to the state general fund, the administrative costs agreed upon by the state and the Reinvestment Committee of the Governor’s</w:t>
      </w:r>
      <w:r>
        <w:rPr>
          <w:rFonts w:ascii="Cambria" w:hAnsi="Cambria"/>
          <w:spacing w:val="-34"/>
          <w:sz w:val="22"/>
        </w:rPr>
        <w:t> </w:t>
      </w:r>
      <w:r>
        <w:rPr>
          <w:rFonts w:ascii="Cambria" w:hAnsi="Cambria"/>
          <w:sz w:val="22"/>
        </w:rPr>
        <w:t>Indian</w:t>
      </w:r>
    </w:p>
    <w:p>
      <w:pPr>
        <w:spacing w:after="0" w:line="276" w:lineRule="auto"/>
        <w:jc w:val="left"/>
        <w:rPr>
          <w:rFonts w:ascii="Cambria" w:hAnsi="Cambria"/>
          <w:sz w:val="22"/>
        </w:rPr>
        <w:sectPr>
          <w:pgSz w:w="12240" w:h="15840"/>
          <w:pgMar w:header="0" w:footer="1277" w:top="1360" w:bottom="1500" w:left="620" w:right="740"/>
        </w:sectPr>
      </w:pPr>
    </w:p>
    <w:p>
      <w:pPr>
        <w:pStyle w:val="BodyText"/>
        <w:spacing w:line="276" w:lineRule="auto" w:before="82"/>
        <w:ind w:left="1540" w:right="868"/>
      </w:pPr>
      <w:r>
        <w:rPr/>
        <w:t>Health Advisory Council will be deducted from such appropriations and retained in the state general fund to cover such administrative costs. With input from the Reinvestment Committee, the state will develop a system to track and report on new state savings achieved due to the new 100 percent FMAP, administrative costs to support the achievement of the new state savings due to the new 100 percent FMAP, and expenditures from the Reinvestment Account for the projects and purposes determined by the Reinvestment Committee. The funds in the Reinvestment Account may only be spent on costs for projects, programs, and activities included in the Indian Health Improvement Advisory Plan</w:t>
      </w:r>
      <w:r>
        <w:rPr>
          <w:color w:val="252525"/>
        </w:rPr>
        <w:t>.</w:t>
      </w:r>
    </w:p>
    <w:p>
      <w:pPr>
        <w:pStyle w:val="ListParagraph"/>
        <w:numPr>
          <w:ilvl w:val="1"/>
          <w:numId w:val="10"/>
        </w:numPr>
        <w:tabs>
          <w:tab w:pos="1541" w:val="left" w:leader="none"/>
        </w:tabs>
        <w:spacing w:line="276" w:lineRule="auto" w:before="201" w:after="0"/>
        <w:ind w:left="1540" w:right="733" w:hanging="360"/>
        <w:jc w:val="left"/>
        <w:rPr>
          <w:rFonts w:ascii="Cambria" w:hAnsi="Cambria"/>
          <w:sz w:val="22"/>
        </w:rPr>
      </w:pPr>
      <w:r>
        <w:rPr>
          <w:rFonts w:ascii="Cambria" w:hAnsi="Cambria"/>
          <w:b/>
          <w:sz w:val="22"/>
        </w:rPr>
        <w:t>Appropriate Proposed Budget Amount for HCA Staff. </w:t>
      </w:r>
      <w:r>
        <w:rPr>
          <w:rFonts w:ascii="Cambria" w:hAnsi="Cambria"/>
          <w:sz w:val="22"/>
        </w:rPr>
        <w:t>The state should appropriate sufficient funding for five FTE HCA staff (approximately $500,000 in salaries and benefits as included in HCA decision package #37 and the Governor’s 2019–2021 proposed budget) to partner with the Indian Health Service and tribal governments to meet federal requirements that allow the state to receive the 100 percent FMAP on services which are currently provided to AI/AN Medicaid enrollees at standard FMAP</w:t>
      </w:r>
      <w:r>
        <w:rPr>
          <w:rFonts w:ascii="Cambria" w:hAnsi="Cambria"/>
          <w:spacing w:val="-10"/>
          <w:sz w:val="22"/>
        </w:rPr>
        <w:t> </w:t>
      </w:r>
      <w:r>
        <w:rPr>
          <w:rFonts w:ascii="Cambria" w:hAnsi="Cambria"/>
          <w:sz w:val="22"/>
        </w:rPr>
        <w:t>rates.</w:t>
      </w:r>
    </w:p>
    <w:p>
      <w:pPr>
        <w:pStyle w:val="ListParagraph"/>
        <w:numPr>
          <w:ilvl w:val="1"/>
          <w:numId w:val="10"/>
        </w:numPr>
        <w:tabs>
          <w:tab w:pos="1541" w:val="left" w:leader="none"/>
        </w:tabs>
        <w:spacing w:line="276" w:lineRule="auto" w:before="199" w:after="0"/>
        <w:ind w:left="1540" w:right="700" w:hanging="360"/>
        <w:jc w:val="left"/>
        <w:rPr>
          <w:rFonts w:ascii="Cambria" w:hAnsi="Cambria"/>
          <w:sz w:val="22"/>
        </w:rPr>
      </w:pPr>
      <w:r>
        <w:rPr>
          <w:rFonts w:ascii="Cambria" w:hAnsi="Cambria"/>
          <w:b/>
          <w:sz w:val="22"/>
        </w:rPr>
        <w:t>Partner With Tribes to Cover Expenses for the Governor’s Indian Health Advisory Council to Complete the First Indian Health Improvement Advisory Plan. </w:t>
      </w:r>
      <w:r>
        <w:rPr>
          <w:rFonts w:ascii="Cambria" w:hAnsi="Cambria"/>
          <w:sz w:val="22"/>
        </w:rPr>
        <w:t>The state and tribes should work together to complete the first Indian Health Improvement Advisory Plan, which will include all of the analyses described in section 213(mmm) of ESSB</w:t>
      </w:r>
      <w:r>
        <w:rPr>
          <w:rFonts w:ascii="Cambria" w:hAnsi="Cambria"/>
          <w:spacing w:val="-17"/>
          <w:sz w:val="22"/>
        </w:rPr>
        <w:t> </w:t>
      </w:r>
      <w:r>
        <w:rPr>
          <w:rFonts w:ascii="Cambria" w:hAnsi="Cambria"/>
          <w:sz w:val="22"/>
        </w:rPr>
        <w:t>6032,</w:t>
      </w:r>
    </w:p>
    <w:p>
      <w:pPr>
        <w:pStyle w:val="BodyText"/>
        <w:spacing w:line="273" w:lineRule="auto" w:before="1"/>
        <w:ind w:left="1540" w:right="889"/>
      </w:pPr>
      <w:r>
        <w:rPr/>
        <w:t>including covering meeting expenses for the Governor’s Indian Health Advisory Council to adopt the first Indian Health Improvement Advisory Plan.</w:t>
      </w:r>
    </w:p>
    <w:p>
      <w:pPr>
        <w:spacing w:after="0" w:line="273" w:lineRule="auto"/>
        <w:sectPr>
          <w:pgSz w:w="12240" w:h="15840"/>
          <w:pgMar w:header="0" w:footer="1277" w:top="1360" w:bottom="1540" w:left="620" w:right="740"/>
        </w:sectPr>
      </w:pPr>
    </w:p>
    <w:p>
      <w:pPr>
        <w:pStyle w:val="Heading1"/>
      </w:pPr>
      <w:bookmarkStart w:name="_bookmark12" w:id="13"/>
      <w:bookmarkEnd w:id="13"/>
      <w:r>
        <w:rPr/>
      </w:r>
      <w:r>
        <w:rPr>
          <w:color w:val="1C629F"/>
        </w:rPr>
        <w:t>Appendix A: Fiscal Estimates</w:t>
      </w:r>
    </w:p>
    <w:p>
      <w:pPr>
        <w:spacing w:before="242"/>
        <w:ind w:left="820" w:right="885" w:firstLine="0"/>
        <w:jc w:val="left"/>
        <w:rPr>
          <w:rFonts w:ascii="Tahoma"/>
          <w:b/>
          <w:sz w:val="20"/>
        </w:rPr>
      </w:pPr>
      <w:r>
        <w:rPr>
          <w:rFonts w:ascii="Tahoma"/>
          <w:b/>
          <w:color w:val="252525"/>
          <w:sz w:val="20"/>
        </w:rPr>
        <w:t>Table 1: Providers (by Tax Identification Number), Contracts (Referrals Between IHS or Tribal Facilities and Non-IHS, Non-Tribal Providers), and State General Fund Amounts by Region</w:t>
      </w:r>
    </w:p>
    <w:tbl>
      <w:tblPr>
        <w:tblW w:w="0" w:type="auto"/>
        <w:jc w:val="left"/>
        <w:tblInd w:w="829"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top w:w="0" w:type="dxa"/>
          <w:left w:w="0" w:type="dxa"/>
          <w:bottom w:w="0" w:type="dxa"/>
          <w:right w:w="0" w:type="dxa"/>
        </w:tblCellMar>
        <w:tblLook w:val="01E0"/>
      </w:tblPr>
      <w:tblGrid>
        <w:gridCol w:w="5409"/>
        <w:gridCol w:w="750"/>
        <w:gridCol w:w="1270"/>
        <w:gridCol w:w="516"/>
        <w:gridCol w:w="1284"/>
      </w:tblGrid>
      <w:tr>
        <w:trPr>
          <w:trHeight w:val="230" w:hRule="atLeast"/>
        </w:trPr>
        <w:tc>
          <w:tcPr>
            <w:tcW w:w="5409" w:type="dxa"/>
          </w:tcPr>
          <w:p>
            <w:pPr>
              <w:pStyle w:val="TableParagraph"/>
              <w:rPr>
                <w:rFonts w:ascii="Times New Roman"/>
                <w:sz w:val="16"/>
              </w:rPr>
            </w:pPr>
          </w:p>
        </w:tc>
        <w:tc>
          <w:tcPr>
            <w:tcW w:w="750" w:type="dxa"/>
          </w:tcPr>
          <w:p>
            <w:pPr>
              <w:pStyle w:val="TableParagraph"/>
              <w:spacing w:line="201" w:lineRule="exact" w:before="9"/>
              <w:ind w:left="29" w:right="17"/>
              <w:jc w:val="center"/>
              <w:rPr>
                <w:rFonts w:ascii="Calibri"/>
                <w:b/>
                <w:sz w:val="18"/>
              </w:rPr>
            </w:pPr>
            <w:r>
              <w:rPr>
                <w:rFonts w:ascii="Calibri"/>
                <w:b/>
                <w:sz w:val="18"/>
              </w:rPr>
              <w:t># of TINs</w:t>
            </w:r>
          </w:p>
        </w:tc>
        <w:tc>
          <w:tcPr>
            <w:tcW w:w="1270" w:type="dxa"/>
          </w:tcPr>
          <w:p>
            <w:pPr>
              <w:pStyle w:val="TableParagraph"/>
              <w:spacing w:line="201" w:lineRule="exact" w:before="9"/>
              <w:ind w:left="95"/>
              <w:rPr>
                <w:rFonts w:ascii="Calibri"/>
                <w:b/>
                <w:sz w:val="18"/>
              </w:rPr>
            </w:pPr>
            <w:r>
              <w:rPr>
                <w:rFonts w:ascii="Calibri"/>
                <w:b/>
                <w:sz w:val="18"/>
              </w:rPr>
              <w:t># of Contracts</w:t>
            </w:r>
          </w:p>
        </w:tc>
        <w:tc>
          <w:tcPr>
            <w:tcW w:w="1800" w:type="dxa"/>
            <w:gridSpan w:val="2"/>
            <w:tcBorders>
              <w:right w:val="single" w:sz="4" w:space="0" w:color="000000"/>
            </w:tcBorders>
          </w:tcPr>
          <w:p>
            <w:pPr>
              <w:pStyle w:val="TableParagraph"/>
              <w:spacing w:line="201" w:lineRule="exact" w:before="9"/>
              <w:ind w:left="165"/>
              <w:rPr>
                <w:rFonts w:ascii="Calibri"/>
                <w:b/>
                <w:sz w:val="18"/>
              </w:rPr>
            </w:pPr>
            <w:r>
              <w:rPr>
                <w:rFonts w:ascii="Calibri"/>
                <w:b/>
                <w:sz w:val="18"/>
              </w:rPr>
              <w:t>2017 GF-S Amounts</w:t>
            </w:r>
          </w:p>
        </w:tc>
      </w:tr>
      <w:tr>
        <w:trPr>
          <w:trHeight w:val="230" w:hRule="atLeast"/>
        </w:trPr>
        <w:tc>
          <w:tcPr>
            <w:tcW w:w="5409" w:type="dxa"/>
          </w:tcPr>
          <w:p>
            <w:pPr>
              <w:pStyle w:val="TableParagraph"/>
              <w:spacing w:line="202" w:lineRule="exact" w:before="8"/>
              <w:ind w:left="34"/>
              <w:rPr>
                <w:rFonts w:ascii="Calibri"/>
                <w:b/>
                <w:sz w:val="18"/>
              </w:rPr>
            </w:pPr>
            <w:r>
              <w:rPr>
                <w:rFonts w:ascii="Calibri"/>
                <w:b/>
                <w:sz w:val="18"/>
              </w:rPr>
              <w:t>Region: Central West (King, Kitsap, Jefferson, and Clallam counties)</w:t>
            </w:r>
          </w:p>
        </w:tc>
        <w:tc>
          <w:tcPr>
            <w:tcW w:w="750" w:type="dxa"/>
          </w:tcPr>
          <w:p>
            <w:pPr>
              <w:pStyle w:val="TableParagraph"/>
              <w:rPr>
                <w:rFonts w:ascii="Times New Roman"/>
                <w:sz w:val="16"/>
              </w:rPr>
            </w:pPr>
          </w:p>
        </w:tc>
        <w:tc>
          <w:tcPr>
            <w:tcW w:w="1270" w:type="dxa"/>
          </w:tcPr>
          <w:p>
            <w:pPr>
              <w:pStyle w:val="TableParagraph"/>
              <w:rPr>
                <w:rFonts w:ascii="Times New Roman"/>
                <w:sz w:val="16"/>
              </w:rPr>
            </w:pPr>
          </w:p>
        </w:tc>
        <w:tc>
          <w:tcPr>
            <w:tcW w:w="1800" w:type="dxa"/>
            <w:gridSpan w:val="2"/>
            <w:tcBorders>
              <w:right w:val="single" w:sz="4" w:space="0" w:color="000000"/>
            </w:tcBorders>
          </w:tcPr>
          <w:p>
            <w:pPr>
              <w:pStyle w:val="TableParagraph"/>
              <w:rPr>
                <w:rFonts w:ascii="Times New Roman"/>
                <w:sz w:val="16"/>
              </w:rPr>
            </w:pPr>
          </w:p>
        </w:tc>
      </w:tr>
      <w:tr>
        <w:trPr>
          <w:trHeight w:val="229" w:hRule="atLeast"/>
        </w:trPr>
        <w:tc>
          <w:tcPr>
            <w:tcW w:w="5409" w:type="dxa"/>
          </w:tcPr>
          <w:p>
            <w:pPr>
              <w:pStyle w:val="TableParagraph"/>
              <w:spacing w:line="201" w:lineRule="exact" w:before="8"/>
              <w:ind w:left="34"/>
              <w:rPr>
                <w:rFonts w:ascii="Calibri"/>
                <w:sz w:val="18"/>
              </w:rPr>
            </w:pPr>
            <w:r>
              <w:rPr>
                <w:rFonts w:ascii="Calibri"/>
                <w:sz w:val="18"/>
              </w:rPr>
              <w:t>GF-S $200,000+</w:t>
            </w:r>
          </w:p>
        </w:tc>
        <w:tc>
          <w:tcPr>
            <w:tcW w:w="750" w:type="dxa"/>
          </w:tcPr>
          <w:p>
            <w:pPr>
              <w:pStyle w:val="TableParagraph"/>
              <w:spacing w:line="201" w:lineRule="exact" w:before="8"/>
              <w:ind w:right="95"/>
              <w:jc w:val="center"/>
              <w:rPr>
                <w:rFonts w:ascii="Calibri"/>
                <w:sz w:val="18"/>
              </w:rPr>
            </w:pPr>
            <w:r>
              <w:rPr>
                <w:rFonts w:ascii="Calibri"/>
                <w:w w:val="100"/>
                <w:sz w:val="18"/>
              </w:rPr>
              <w:t>5</w:t>
            </w:r>
          </w:p>
        </w:tc>
        <w:tc>
          <w:tcPr>
            <w:tcW w:w="1270" w:type="dxa"/>
          </w:tcPr>
          <w:p>
            <w:pPr>
              <w:pStyle w:val="TableParagraph"/>
              <w:spacing w:line="201" w:lineRule="exact" w:before="8"/>
              <w:ind w:right="82"/>
              <w:jc w:val="right"/>
              <w:rPr>
                <w:rFonts w:ascii="Calibri"/>
                <w:sz w:val="18"/>
              </w:rPr>
            </w:pPr>
            <w:r>
              <w:rPr>
                <w:rFonts w:ascii="Calibri"/>
                <w:sz w:val="18"/>
              </w:rPr>
              <w:t>35</w:t>
            </w:r>
          </w:p>
        </w:tc>
        <w:tc>
          <w:tcPr>
            <w:tcW w:w="1800" w:type="dxa"/>
            <w:gridSpan w:val="2"/>
            <w:tcBorders>
              <w:right w:val="single" w:sz="4" w:space="0" w:color="000000"/>
            </w:tcBorders>
          </w:tcPr>
          <w:p>
            <w:pPr>
              <w:pStyle w:val="TableParagraph"/>
              <w:tabs>
                <w:tab w:pos="815" w:val="left" w:leader="none"/>
              </w:tabs>
              <w:spacing w:line="201" w:lineRule="exact" w:before="8"/>
              <w:ind w:left="125"/>
              <w:rPr>
                <w:rFonts w:ascii="Calibri"/>
                <w:sz w:val="18"/>
              </w:rPr>
            </w:pPr>
            <w:r>
              <w:rPr>
                <w:rFonts w:ascii="Calibri"/>
                <w:sz w:val="18"/>
              </w:rPr>
              <w:t>$</w:t>
              <w:tab/>
            </w:r>
            <w:r>
              <w:rPr>
                <w:rFonts w:ascii="Calibri"/>
                <w:spacing w:val="-3"/>
                <w:sz w:val="18"/>
              </w:rPr>
              <w:t>4,538,617</w:t>
            </w: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GF-S $50,000-$200,000</w:t>
            </w:r>
          </w:p>
        </w:tc>
        <w:tc>
          <w:tcPr>
            <w:tcW w:w="750" w:type="dxa"/>
          </w:tcPr>
          <w:p>
            <w:pPr>
              <w:pStyle w:val="TableParagraph"/>
              <w:spacing w:line="201" w:lineRule="exact" w:before="9"/>
              <w:ind w:left="11" w:right="17"/>
              <w:jc w:val="center"/>
              <w:rPr>
                <w:rFonts w:ascii="Calibri"/>
                <w:sz w:val="18"/>
              </w:rPr>
            </w:pPr>
            <w:r>
              <w:rPr>
                <w:rFonts w:ascii="Calibri"/>
                <w:sz w:val="18"/>
              </w:rPr>
              <w:t>16</w:t>
            </w:r>
          </w:p>
        </w:tc>
        <w:tc>
          <w:tcPr>
            <w:tcW w:w="1270" w:type="dxa"/>
          </w:tcPr>
          <w:p>
            <w:pPr>
              <w:pStyle w:val="TableParagraph"/>
              <w:spacing w:line="201" w:lineRule="exact" w:before="9"/>
              <w:ind w:right="82"/>
              <w:jc w:val="right"/>
              <w:rPr>
                <w:rFonts w:ascii="Calibri"/>
                <w:sz w:val="18"/>
              </w:rPr>
            </w:pPr>
            <w:r>
              <w:rPr>
                <w:rFonts w:ascii="Calibri"/>
                <w:sz w:val="18"/>
              </w:rPr>
              <w:t>79</w:t>
            </w:r>
          </w:p>
        </w:tc>
        <w:tc>
          <w:tcPr>
            <w:tcW w:w="1800" w:type="dxa"/>
            <w:gridSpan w:val="2"/>
            <w:tcBorders>
              <w:right w:val="single" w:sz="4" w:space="0" w:color="000000"/>
            </w:tcBorders>
          </w:tcPr>
          <w:p>
            <w:pPr>
              <w:pStyle w:val="TableParagraph"/>
              <w:tabs>
                <w:tab w:pos="815" w:val="left" w:leader="none"/>
              </w:tabs>
              <w:spacing w:line="201" w:lineRule="exact" w:before="9"/>
              <w:ind w:left="125"/>
              <w:rPr>
                <w:rFonts w:ascii="Calibri"/>
                <w:sz w:val="18"/>
              </w:rPr>
            </w:pPr>
            <w:r>
              <w:rPr>
                <w:rFonts w:ascii="Calibri"/>
                <w:sz w:val="18"/>
              </w:rPr>
              <w:t>$</w:t>
              <w:tab/>
            </w:r>
            <w:r>
              <w:rPr>
                <w:rFonts w:ascii="Calibri"/>
                <w:spacing w:val="-3"/>
                <w:sz w:val="18"/>
              </w:rPr>
              <w:t>1,336,180</w:t>
            </w:r>
          </w:p>
        </w:tc>
      </w:tr>
      <w:tr>
        <w:trPr>
          <w:trHeight w:val="259" w:hRule="atLeast"/>
        </w:trPr>
        <w:tc>
          <w:tcPr>
            <w:tcW w:w="5409" w:type="dxa"/>
          </w:tcPr>
          <w:p>
            <w:pPr>
              <w:pStyle w:val="TableParagraph"/>
              <w:spacing w:before="18"/>
              <w:ind w:left="34"/>
              <w:rPr>
                <w:rFonts w:ascii="Calibri"/>
                <w:sz w:val="18"/>
              </w:rPr>
            </w:pPr>
            <w:r>
              <w:rPr>
                <w:rFonts w:ascii="Calibri"/>
                <w:sz w:val="18"/>
              </w:rPr>
              <w:t>GF-S $10,000-$50,000</w:t>
            </w:r>
          </w:p>
        </w:tc>
        <w:tc>
          <w:tcPr>
            <w:tcW w:w="750" w:type="dxa"/>
          </w:tcPr>
          <w:p>
            <w:pPr>
              <w:pStyle w:val="TableParagraph"/>
              <w:spacing w:before="18"/>
              <w:ind w:left="11" w:right="17"/>
              <w:jc w:val="center"/>
              <w:rPr>
                <w:rFonts w:ascii="Calibri"/>
                <w:sz w:val="18"/>
              </w:rPr>
            </w:pPr>
            <w:r>
              <w:rPr>
                <w:rFonts w:ascii="Calibri"/>
                <w:sz w:val="18"/>
                <w:u w:val="single"/>
              </w:rPr>
              <w:t>49</w:t>
            </w:r>
          </w:p>
        </w:tc>
        <w:tc>
          <w:tcPr>
            <w:tcW w:w="1270" w:type="dxa"/>
          </w:tcPr>
          <w:p>
            <w:pPr>
              <w:pStyle w:val="TableParagraph"/>
              <w:tabs>
                <w:tab w:pos="878" w:val="left" w:leader="none"/>
              </w:tabs>
              <w:spacing w:before="18"/>
              <w:ind w:right="32"/>
              <w:jc w:val="right"/>
              <w:rPr>
                <w:rFonts w:ascii="Calibri"/>
                <w:sz w:val="18"/>
              </w:rPr>
            </w:pPr>
            <w:r>
              <w:rPr>
                <w:rFonts w:ascii="Calibri"/>
                <w:w w:val="100"/>
                <w:sz w:val="18"/>
                <w:u w:val="single"/>
              </w:rPr>
              <w:t> </w:t>
            </w:r>
            <w:r>
              <w:rPr>
                <w:rFonts w:ascii="Calibri"/>
                <w:sz w:val="18"/>
                <w:u w:val="single"/>
              </w:rPr>
              <w:tab/>
            </w:r>
            <w:r>
              <w:rPr>
                <w:rFonts w:ascii="Calibri"/>
                <w:spacing w:val="-2"/>
                <w:sz w:val="18"/>
                <w:u w:val="single"/>
              </w:rPr>
              <w:t>233</w:t>
            </w:r>
            <w:r>
              <w:rPr>
                <w:rFonts w:ascii="Calibri"/>
                <w:spacing w:val="-1"/>
                <w:sz w:val="18"/>
                <w:u w:val="single"/>
              </w:rPr>
              <w:t> </w:t>
            </w:r>
          </w:p>
        </w:tc>
        <w:tc>
          <w:tcPr>
            <w:tcW w:w="516" w:type="dxa"/>
            <w:tcBorders>
              <w:right w:val="nil"/>
            </w:tcBorders>
          </w:tcPr>
          <w:p>
            <w:pPr>
              <w:pStyle w:val="TableParagraph"/>
              <w:tabs>
                <w:tab w:pos="815" w:val="left" w:leader="none"/>
              </w:tabs>
              <w:spacing w:before="18"/>
              <w:ind w:left="85" w:right="-317"/>
              <w:rPr>
                <w:rFonts w:ascii="Calibri"/>
                <w:sz w:val="18"/>
              </w:rPr>
            </w:pPr>
            <w:r>
              <w:rPr>
                <w:rFonts w:ascii="Calibri"/>
                <w:spacing w:val="-1"/>
                <w:w w:val="100"/>
                <w:sz w:val="18"/>
                <w:u w:val="single"/>
              </w:rPr>
              <w:t> </w:t>
            </w:r>
            <w:r>
              <w:rPr>
                <w:rFonts w:ascii="Calibri"/>
                <w:sz w:val="18"/>
                <w:u w:val="single"/>
              </w:rPr>
              <w:t>$</w:t>
              <w:tab/>
            </w:r>
          </w:p>
        </w:tc>
        <w:tc>
          <w:tcPr>
            <w:tcW w:w="1284" w:type="dxa"/>
            <w:tcBorders>
              <w:left w:val="nil"/>
              <w:right w:val="single" w:sz="4" w:space="0" w:color="000000"/>
            </w:tcBorders>
          </w:tcPr>
          <w:p>
            <w:pPr>
              <w:pStyle w:val="TableParagraph"/>
              <w:spacing w:before="18"/>
              <w:ind w:right="260"/>
              <w:jc w:val="right"/>
              <w:rPr>
                <w:rFonts w:ascii="Calibri"/>
                <w:sz w:val="18"/>
              </w:rPr>
            </w:pPr>
            <w:r>
              <w:rPr>
                <w:rFonts w:ascii="Calibri"/>
                <w:sz w:val="18"/>
                <w:u w:val="single"/>
              </w:rPr>
              <w:t>1,085,279</w:t>
            </w:r>
          </w:p>
        </w:tc>
      </w:tr>
      <w:tr>
        <w:trPr>
          <w:trHeight w:val="230" w:hRule="atLeast"/>
        </w:trPr>
        <w:tc>
          <w:tcPr>
            <w:tcW w:w="5409" w:type="dxa"/>
          </w:tcPr>
          <w:p>
            <w:pPr>
              <w:pStyle w:val="TableParagraph"/>
              <w:spacing w:line="202" w:lineRule="exact" w:before="8"/>
              <w:ind w:left="34"/>
              <w:rPr>
                <w:rFonts w:ascii="Calibri"/>
                <w:sz w:val="18"/>
              </w:rPr>
            </w:pPr>
            <w:r>
              <w:rPr>
                <w:rFonts w:ascii="Calibri"/>
                <w:sz w:val="18"/>
              </w:rPr>
              <w:t>Total</w:t>
            </w:r>
          </w:p>
        </w:tc>
        <w:tc>
          <w:tcPr>
            <w:tcW w:w="750" w:type="dxa"/>
          </w:tcPr>
          <w:p>
            <w:pPr>
              <w:pStyle w:val="TableParagraph"/>
              <w:spacing w:line="202" w:lineRule="exact" w:before="8"/>
              <w:ind w:left="11" w:right="17"/>
              <w:jc w:val="center"/>
              <w:rPr>
                <w:rFonts w:ascii="Calibri"/>
                <w:sz w:val="18"/>
              </w:rPr>
            </w:pPr>
            <w:r>
              <w:rPr>
                <w:rFonts w:ascii="Calibri"/>
                <w:sz w:val="18"/>
              </w:rPr>
              <w:t>70</w:t>
            </w:r>
          </w:p>
        </w:tc>
        <w:tc>
          <w:tcPr>
            <w:tcW w:w="1270" w:type="dxa"/>
          </w:tcPr>
          <w:p>
            <w:pPr>
              <w:pStyle w:val="TableParagraph"/>
              <w:spacing w:line="202" w:lineRule="exact" w:before="8"/>
              <w:ind w:right="72"/>
              <w:jc w:val="right"/>
              <w:rPr>
                <w:rFonts w:ascii="Calibri"/>
                <w:sz w:val="18"/>
              </w:rPr>
            </w:pPr>
            <w:r>
              <w:rPr>
                <w:rFonts w:ascii="Calibri"/>
                <w:sz w:val="18"/>
              </w:rPr>
              <w:t>347</w:t>
            </w:r>
          </w:p>
        </w:tc>
        <w:tc>
          <w:tcPr>
            <w:tcW w:w="1800" w:type="dxa"/>
            <w:gridSpan w:val="2"/>
            <w:tcBorders>
              <w:right w:val="single" w:sz="4" w:space="0" w:color="000000"/>
            </w:tcBorders>
          </w:tcPr>
          <w:p>
            <w:pPr>
              <w:pStyle w:val="TableParagraph"/>
              <w:tabs>
                <w:tab w:pos="815" w:val="left" w:leader="none"/>
              </w:tabs>
              <w:spacing w:line="202" w:lineRule="exact" w:before="8"/>
              <w:ind w:left="125"/>
              <w:rPr>
                <w:rFonts w:ascii="Calibri"/>
                <w:sz w:val="18"/>
              </w:rPr>
            </w:pPr>
            <w:r>
              <w:rPr>
                <w:rFonts w:ascii="Calibri"/>
                <w:sz w:val="18"/>
              </w:rPr>
              <w:t>$</w:t>
              <w:tab/>
            </w:r>
            <w:r>
              <w:rPr>
                <w:rFonts w:ascii="Calibri"/>
                <w:spacing w:val="-3"/>
                <w:sz w:val="18"/>
              </w:rPr>
              <w:t>4,687,616</w:t>
            </w:r>
          </w:p>
        </w:tc>
      </w:tr>
      <w:tr>
        <w:trPr>
          <w:trHeight w:val="229" w:hRule="atLeast"/>
        </w:trPr>
        <w:tc>
          <w:tcPr>
            <w:tcW w:w="5409" w:type="dxa"/>
          </w:tcPr>
          <w:p>
            <w:pPr>
              <w:pStyle w:val="TableParagraph"/>
              <w:spacing w:line="201" w:lineRule="exact" w:before="8"/>
              <w:ind w:left="34"/>
              <w:rPr>
                <w:rFonts w:ascii="Calibri"/>
                <w:b/>
                <w:sz w:val="18"/>
              </w:rPr>
            </w:pPr>
            <w:r>
              <w:rPr>
                <w:rFonts w:ascii="Calibri"/>
                <w:b/>
                <w:sz w:val="18"/>
              </w:rPr>
              <w:t>Region: East (Spokane, Greater Columbia, and North Central regions)</w:t>
            </w:r>
          </w:p>
        </w:tc>
        <w:tc>
          <w:tcPr>
            <w:tcW w:w="750" w:type="dxa"/>
          </w:tcPr>
          <w:p>
            <w:pPr>
              <w:pStyle w:val="TableParagraph"/>
              <w:rPr>
                <w:rFonts w:ascii="Times New Roman"/>
                <w:sz w:val="16"/>
              </w:rPr>
            </w:pPr>
          </w:p>
        </w:tc>
        <w:tc>
          <w:tcPr>
            <w:tcW w:w="1270" w:type="dxa"/>
          </w:tcPr>
          <w:p>
            <w:pPr>
              <w:pStyle w:val="TableParagraph"/>
              <w:rPr>
                <w:rFonts w:ascii="Times New Roman"/>
                <w:sz w:val="16"/>
              </w:rPr>
            </w:pPr>
          </w:p>
        </w:tc>
        <w:tc>
          <w:tcPr>
            <w:tcW w:w="1800" w:type="dxa"/>
            <w:gridSpan w:val="2"/>
            <w:tcBorders>
              <w:right w:val="single" w:sz="4" w:space="0" w:color="000000"/>
            </w:tcBorders>
          </w:tcPr>
          <w:p>
            <w:pPr>
              <w:pStyle w:val="TableParagraph"/>
              <w:rPr>
                <w:rFonts w:ascii="Times New Roman"/>
                <w:sz w:val="16"/>
              </w:rPr>
            </w:pPr>
          </w:p>
        </w:tc>
      </w:tr>
      <w:tr>
        <w:trPr>
          <w:trHeight w:val="230" w:hRule="atLeast"/>
        </w:trPr>
        <w:tc>
          <w:tcPr>
            <w:tcW w:w="5409" w:type="dxa"/>
          </w:tcPr>
          <w:p>
            <w:pPr>
              <w:pStyle w:val="TableParagraph"/>
              <w:spacing w:line="201" w:lineRule="exact" w:before="8"/>
              <w:ind w:left="34"/>
              <w:rPr>
                <w:rFonts w:ascii="Calibri"/>
                <w:sz w:val="18"/>
              </w:rPr>
            </w:pPr>
            <w:r>
              <w:rPr>
                <w:rFonts w:ascii="Calibri"/>
                <w:sz w:val="18"/>
              </w:rPr>
              <w:t>GF-S $200,000+</w:t>
            </w:r>
          </w:p>
        </w:tc>
        <w:tc>
          <w:tcPr>
            <w:tcW w:w="750" w:type="dxa"/>
          </w:tcPr>
          <w:p>
            <w:pPr>
              <w:pStyle w:val="TableParagraph"/>
              <w:spacing w:line="201" w:lineRule="exact" w:before="8"/>
              <w:ind w:right="95"/>
              <w:jc w:val="center"/>
              <w:rPr>
                <w:rFonts w:ascii="Calibri"/>
                <w:sz w:val="18"/>
              </w:rPr>
            </w:pPr>
            <w:r>
              <w:rPr>
                <w:rFonts w:ascii="Calibri"/>
                <w:w w:val="100"/>
                <w:sz w:val="18"/>
              </w:rPr>
              <w:t>9</w:t>
            </w:r>
          </w:p>
        </w:tc>
        <w:tc>
          <w:tcPr>
            <w:tcW w:w="1270" w:type="dxa"/>
          </w:tcPr>
          <w:p>
            <w:pPr>
              <w:pStyle w:val="TableParagraph"/>
              <w:spacing w:line="201" w:lineRule="exact" w:before="8"/>
              <w:ind w:right="82"/>
              <w:jc w:val="right"/>
              <w:rPr>
                <w:rFonts w:ascii="Calibri"/>
                <w:sz w:val="18"/>
              </w:rPr>
            </w:pPr>
            <w:r>
              <w:rPr>
                <w:rFonts w:ascii="Calibri"/>
                <w:sz w:val="18"/>
              </w:rPr>
              <w:t>25</w:t>
            </w:r>
          </w:p>
        </w:tc>
        <w:tc>
          <w:tcPr>
            <w:tcW w:w="1800" w:type="dxa"/>
            <w:gridSpan w:val="2"/>
            <w:tcBorders>
              <w:right w:val="single" w:sz="4" w:space="0" w:color="000000"/>
            </w:tcBorders>
          </w:tcPr>
          <w:p>
            <w:pPr>
              <w:pStyle w:val="TableParagraph"/>
              <w:tabs>
                <w:tab w:pos="815" w:val="left" w:leader="none"/>
              </w:tabs>
              <w:spacing w:line="201" w:lineRule="exact" w:before="8"/>
              <w:ind w:left="125"/>
              <w:rPr>
                <w:rFonts w:ascii="Calibri"/>
                <w:sz w:val="18"/>
              </w:rPr>
            </w:pPr>
            <w:r>
              <w:rPr>
                <w:rFonts w:ascii="Calibri"/>
                <w:sz w:val="18"/>
              </w:rPr>
              <w:t>$</w:t>
              <w:tab/>
            </w:r>
            <w:r>
              <w:rPr>
                <w:rFonts w:ascii="Calibri"/>
                <w:spacing w:val="-3"/>
                <w:sz w:val="18"/>
              </w:rPr>
              <w:t>3,663,791</w:t>
            </w: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GF-S $50,000-$200,000</w:t>
            </w:r>
          </w:p>
        </w:tc>
        <w:tc>
          <w:tcPr>
            <w:tcW w:w="750" w:type="dxa"/>
          </w:tcPr>
          <w:p>
            <w:pPr>
              <w:pStyle w:val="TableParagraph"/>
              <w:spacing w:line="201" w:lineRule="exact" w:before="9"/>
              <w:ind w:left="11" w:right="17"/>
              <w:jc w:val="center"/>
              <w:rPr>
                <w:rFonts w:ascii="Calibri"/>
                <w:sz w:val="18"/>
              </w:rPr>
            </w:pPr>
            <w:r>
              <w:rPr>
                <w:rFonts w:ascii="Calibri"/>
                <w:sz w:val="18"/>
              </w:rPr>
              <w:t>24</w:t>
            </w:r>
          </w:p>
        </w:tc>
        <w:tc>
          <w:tcPr>
            <w:tcW w:w="1270" w:type="dxa"/>
          </w:tcPr>
          <w:p>
            <w:pPr>
              <w:pStyle w:val="TableParagraph"/>
              <w:spacing w:line="201" w:lineRule="exact" w:before="9"/>
              <w:ind w:right="82"/>
              <w:jc w:val="right"/>
              <w:rPr>
                <w:rFonts w:ascii="Calibri"/>
                <w:sz w:val="18"/>
              </w:rPr>
            </w:pPr>
            <w:r>
              <w:rPr>
                <w:rFonts w:ascii="Calibri"/>
                <w:sz w:val="18"/>
              </w:rPr>
              <w:t>61</w:t>
            </w:r>
          </w:p>
        </w:tc>
        <w:tc>
          <w:tcPr>
            <w:tcW w:w="1800" w:type="dxa"/>
            <w:gridSpan w:val="2"/>
            <w:tcBorders>
              <w:right w:val="single" w:sz="4" w:space="0" w:color="000000"/>
            </w:tcBorders>
          </w:tcPr>
          <w:p>
            <w:pPr>
              <w:pStyle w:val="TableParagraph"/>
              <w:tabs>
                <w:tab w:pos="815" w:val="left" w:leader="none"/>
              </w:tabs>
              <w:spacing w:line="201" w:lineRule="exact" w:before="9"/>
              <w:ind w:left="125"/>
              <w:rPr>
                <w:rFonts w:ascii="Calibri"/>
                <w:sz w:val="18"/>
              </w:rPr>
            </w:pPr>
            <w:r>
              <w:rPr>
                <w:rFonts w:ascii="Calibri"/>
                <w:sz w:val="18"/>
              </w:rPr>
              <w:t>$</w:t>
              <w:tab/>
            </w:r>
            <w:r>
              <w:rPr>
                <w:rFonts w:ascii="Calibri"/>
                <w:spacing w:val="-3"/>
                <w:sz w:val="18"/>
              </w:rPr>
              <w:t>1,997,521</w:t>
            </w:r>
          </w:p>
        </w:tc>
      </w:tr>
      <w:tr>
        <w:trPr>
          <w:trHeight w:val="259" w:hRule="atLeast"/>
        </w:trPr>
        <w:tc>
          <w:tcPr>
            <w:tcW w:w="5409" w:type="dxa"/>
          </w:tcPr>
          <w:p>
            <w:pPr>
              <w:pStyle w:val="TableParagraph"/>
              <w:spacing w:before="18"/>
              <w:ind w:left="34"/>
              <w:rPr>
                <w:rFonts w:ascii="Calibri"/>
                <w:sz w:val="18"/>
              </w:rPr>
            </w:pPr>
            <w:r>
              <w:rPr>
                <w:rFonts w:ascii="Calibri"/>
                <w:sz w:val="18"/>
              </w:rPr>
              <w:t>GF-S $10,000-$50,000</w:t>
            </w:r>
          </w:p>
        </w:tc>
        <w:tc>
          <w:tcPr>
            <w:tcW w:w="750" w:type="dxa"/>
          </w:tcPr>
          <w:p>
            <w:pPr>
              <w:pStyle w:val="TableParagraph"/>
              <w:spacing w:before="18"/>
              <w:ind w:left="11" w:right="17"/>
              <w:jc w:val="center"/>
              <w:rPr>
                <w:rFonts w:ascii="Calibri"/>
                <w:sz w:val="18"/>
              </w:rPr>
            </w:pPr>
            <w:r>
              <w:rPr>
                <w:rFonts w:ascii="Calibri"/>
                <w:sz w:val="18"/>
                <w:u w:val="single"/>
              </w:rPr>
              <w:t>12</w:t>
            </w:r>
          </w:p>
        </w:tc>
        <w:tc>
          <w:tcPr>
            <w:tcW w:w="1270" w:type="dxa"/>
          </w:tcPr>
          <w:p>
            <w:pPr>
              <w:pStyle w:val="TableParagraph"/>
              <w:tabs>
                <w:tab w:pos="958" w:val="left" w:leader="none"/>
              </w:tabs>
              <w:spacing w:before="18"/>
              <w:ind w:right="42"/>
              <w:jc w:val="right"/>
              <w:rPr>
                <w:rFonts w:ascii="Calibri"/>
                <w:sz w:val="18"/>
              </w:rPr>
            </w:pPr>
            <w:r>
              <w:rPr>
                <w:rFonts w:ascii="Calibri"/>
                <w:w w:val="100"/>
                <w:sz w:val="18"/>
                <w:u w:val="single"/>
              </w:rPr>
              <w:t> </w:t>
            </w:r>
            <w:r>
              <w:rPr>
                <w:rFonts w:ascii="Calibri"/>
                <w:sz w:val="18"/>
                <w:u w:val="single"/>
              </w:rPr>
              <w:tab/>
            </w:r>
            <w:r>
              <w:rPr>
                <w:rFonts w:ascii="Calibri"/>
                <w:spacing w:val="-1"/>
                <w:sz w:val="18"/>
                <w:u w:val="single"/>
              </w:rPr>
              <w:t>31 </w:t>
            </w:r>
          </w:p>
        </w:tc>
        <w:tc>
          <w:tcPr>
            <w:tcW w:w="516" w:type="dxa"/>
            <w:tcBorders>
              <w:right w:val="nil"/>
            </w:tcBorders>
          </w:tcPr>
          <w:p>
            <w:pPr>
              <w:pStyle w:val="TableParagraph"/>
              <w:tabs>
                <w:tab w:pos="945" w:val="left" w:leader="none"/>
              </w:tabs>
              <w:spacing w:before="18"/>
              <w:ind w:left="95" w:right="-447"/>
              <w:rPr>
                <w:rFonts w:ascii="Calibri"/>
                <w:sz w:val="18"/>
              </w:rPr>
            </w:pPr>
            <w:r>
              <w:rPr>
                <w:rFonts w:ascii="Calibri"/>
                <w:spacing w:val="-1"/>
                <w:w w:val="100"/>
                <w:sz w:val="18"/>
                <w:u w:val="single"/>
              </w:rPr>
              <w:t> </w:t>
            </w:r>
            <w:r>
              <w:rPr>
                <w:rFonts w:ascii="Calibri"/>
                <w:sz w:val="18"/>
                <w:u w:val="single"/>
              </w:rPr>
              <w:t>$</w:t>
              <w:tab/>
            </w:r>
          </w:p>
        </w:tc>
        <w:tc>
          <w:tcPr>
            <w:tcW w:w="1284" w:type="dxa"/>
            <w:tcBorders>
              <w:left w:val="nil"/>
              <w:right w:val="single" w:sz="4" w:space="0" w:color="000000"/>
            </w:tcBorders>
          </w:tcPr>
          <w:p>
            <w:pPr>
              <w:pStyle w:val="TableParagraph"/>
              <w:spacing w:before="18"/>
              <w:ind w:right="260"/>
              <w:jc w:val="right"/>
              <w:rPr>
                <w:rFonts w:ascii="Calibri"/>
                <w:sz w:val="18"/>
              </w:rPr>
            </w:pPr>
            <w:r>
              <w:rPr>
                <w:rFonts w:ascii="Calibri"/>
                <w:sz w:val="18"/>
                <w:u w:val="single"/>
              </w:rPr>
              <w:t>259,439</w:t>
            </w:r>
          </w:p>
        </w:tc>
      </w:tr>
      <w:tr>
        <w:trPr>
          <w:trHeight w:val="230" w:hRule="atLeast"/>
        </w:trPr>
        <w:tc>
          <w:tcPr>
            <w:tcW w:w="5409" w:type="dxa"/>
          </w:tcPr>
          <w:p>
            <w:pPr>
              <w:pStyle w:val="TableParagraph"/>
              <w:spacing w:line="202" w:lineRule="exact" w:before="8"/>
              <w:ind w:left="34"/>
              <w:rPr>
                <w:rFonts w:ascii="Calibri"/>
                <w:sz w:val="18"/>
              </w:rPr>
            </w:pPr>
            <w:r>
              <w:rPr>
                <w:rFonts w:ascii="Calibri"/>
                <w:sz w:val="18"/>
              </w:rPr>
              <w:t>Total</w:t>
            </w:r>
          </w:p>
        </w:tc>
        <w:tc>
          <w:tcPr>
            <w:tcW w:w="750" w:type="dxa"/>
          </w:tcPr>
          <w:p>
            <w:pPr>
              <w:pStyle w:val="TableParagraph"/>
              <w:spacing w:line="202" w:lineRule="exact" w:before="8"/>
              <w:ind w:left="11" w:right="17"/>
              <w:jc w:val="center"/>
              <w:rPr>
                <w:rFonts w:ascii="Calibri"/>
                <w:sz w:val="18"/>
              </w:rPr>
            </w:pPr>
            <w:r>
              <w:rPr>
                <w:rFonts w:ascii="Calibri"/>
                <w:sz w:val="18"/>
              </w:rPr>
              <w:t>45</w:t>
            </w:r>
          </w:p>
        </w:tc>
        <w:tc>
          <w:tcPr>
            <w:tcW w:w="1270" w:type="dxa"/>
          </w:tcPr>
          <w:p>
            <w:pPr>
              <w:pStyle w:val="TableParagraph"/>
              <w:spacing w:line="202" w:lineRule="exact" w:before="8"/>
              <w:ind w:right="72"/>
              <w:jc w:val="right"/>
              <w:rPr>
                <w:rFonts w:ascii="Calibri"/>
                <w:sz w:val="18"/>
              </w:rPr>
            </w:pPr>
            <w:r>
              <w:rPr>
                <w:rFonts w:ascii="Calibri"/>
                <w:sz w:val="18"/>
              </w:rPr>
              <w:t>117</w:t>
            </w:r>
          </w:p>
        </w:tc>
        <w:tc>
          <w:tcPr>
            <w:tcW w:w="1800" w:type="dxa"/>
            <w:gridSpan w:val="2"/>
            <w:tcBorders>
              <w:right w:val="single" w:sz="4" w:space="0" w:color="000000"/>
            </w:tcBorders>
          </w:tcPr>
          <w:p>
            <w:pPr>
              <w:pStyle w:val="TableParagraph"/>
              <w:tabs>
                <w:tab w:pos="815" w:val="left" w:leader="none"/>
              </w:tabs>
              <w:spacing w:line="202" w:lineRule="exact" w:before="8"/>
              <w:ind w:left="125"/>
              <w:rPr>
                <w:rFonts w:ascii="Calibri"/>
                <w:sz w:val="18"/>
              </w:rPr>
            </w:pPr>
            <w:r>
              <w:rPr>
                <w:rFonts w:ascii="Calibri"/>
                <w:sz w:val="18"/>
              </w:rPr>
              <w:t>$</w:t>
              <w:tab/>
            </w:r>
            <w:r>
              <w:rPr>
                <w:rFonts w:ascii="Calibri"/>
                <w:spacing w:val="-3"/>
                <w:sz w:val="18"/>
              </w:rPr>
              <w:t>5,920,752</w:t>
            </w:r>
          </w:p>
        </w:tc>
      </w:tr>
      <w:tr>
        <w:trPr>
          <w:trHeight w:val="229" w:hRule="atLeast"/>
        </w:trPr>
        <w:tc>
          <w:tcPr>
            <w:tcW w:w="5409" w:type="dxa"/>
          </w:tcPr>
          <w:p>
            <w:pPr>
              <w:pStyle w:val="TableParagraph"/>
              <w:spacing w:line="201" w:lineRule="exact" w:before="8"/>
              <w:ind w:left="34"/>
              <w:rPr>
                <w:rFonts w:ascii="Calibri"/>
                <w:b/>
                <w:sz w:val="18"/>
              </w:rPr>
            </w:pPr>
            <w:r>
              <w:rPr>
                <w:rFonts w:ascii="Calibri"/>
                <w:b/>
                <w:sz w:val="18"/>
              </w:rPr>
              <w:t>Region: North Sound (North Sound region)</w:t>
            </w:r>
          </w:p>
        </w:tc>
        <w:tc>
          <w:tcPr>
            <w:tcW w:w="750" w:type="dxa"/>
          </w:tcPr>
          <w:p>
            <w:pPr>
              <w:pStyle w:val="TableParagraph"/>
              <w:rPr>
                <w:rFonts w:ascii="Times New Roman"/>
                <w:sz w:val="16"/>
              </w:rPr>
            </w:pPr>
          </w:p>
        </w:tc>
        <w:tc>
          <w:tcPr>
            <w:tcW w:w="1270" w:type="dxa"/>
          </w:tcPr>
          <w:p>
            <w:pPr>
              <w:pStyle w:val="TableParagraph"/>
              <w:rPr>
                <w:rFonts w:ascii="Times New Roman"/>
                <w:sz w:val="16"/>
              </w:rPr>
            </w:pPr>
          </w:p>
        </w:tc>
        <w:tc>
          <w:tcPr>
            <w:tcW w:w="1800" w:type="dxa"/>
            <w:gridSpan w:val="2"/>
            <w:tcBorders>
              <w:right w:val="single" w:sz="4" w:space="0" w:color="000000"/>
            </w:tcBorders>
          </w:tcPr>
          <w:p>
            <w:pPr>
              <w:pStyle w:val="TableParagraph"/>
              <w:rPr>
                <w:rFonts w:ascii="Times New Roman"/>
                <w:sz w:val="16"/>
              </w:rPr>
            </w:pPr>
          </w:p>
        </w:tc>
      </w:tr>
      <w:tr>
        <w:trPr>
          <w:trHeight w:val="230" w:hRule="atLeast"/>
        </w:trPr>
        <w:tc>
          <w:tcPr>
            <w:tcW w:w="5409" w:type="dxa"/>
          </w:tcPr>
          <w:p>
            <w:pPr>
              <w:pStyle w:val="TableParagraph"/>
              <w:spacing w:line="201" w:lineRule="exact" w:before="8"/>
              <w:ind w:left="34"/>
              <w:rPr>
                <w:rFonts w:ascii="Calibri"/>
                <w:sz w:val="18"/>
              </w:rPr>
            </w:pPr>
            <w:r>
              <w:rPr>
                <w:rFonts w:ascii="Calibri"/>
                <w:sz w:val="18"/>
              </w:rPr>
              <w:t>GF-S $200,000+</w:t>
            </w:r>
          </w:p>
        </w:tc>
        <w:tc>
          <w:tcPr>
            <w:tcW w:w="750" w:type="dxa"/>
          </w:tcPr>
          <w:p>
            <w:pPr>
              <w:pStyle w:val="TableParagraph"/>
              <w:spacing w:line="201" w:lineRule="exact" w:before="8"/>
              <w:ind w:right="95"/>
              <w:jc w:val="center"/>
              <w:rPr>
                <w:rFonts w:ascii="Calibri"/>
                <w:sz w:val="18"/>
              </w:rPr>
            </w:pPr>
            <w:r>
              <w:rPr>
                <w:rFonts w:ascii="Calibri"/>
                <w:w w:val="100"/>
                <w:sz w:val="18"/>
              </w:rPr>
              <w:t>4</w:t>
            </w:r>
          </w:p>
        </w:tc>
        <w:tc>
          <w:tcPr>
            <w:tcW w:w="1270" w:type="dxa"/>
          </w:tcPr>
          <w:p>
            <w:pPr>
              <w:pStyle w:val="TableParagraph"/>
              <w:spacing w:line="201" w:lineRule="exact" w:before="8"/>
              <w:ind w:right="82"/>
              <w:jc w:val="right"/>
              <w:rPr>
                <w:rFonts w:ascii="Calibri"/>
                <w:sz w:val="18"/>
              </w:rPr>
            </w:pPr>
            <w:r>
              <w:rPr>
                <w:rFonts w:ascii="Calibri"/>
                <w:sz w:val="18"/>
              </w:rPr>
              <w:t>22</w:t>
            </w:r>
          </w:p>
        </w:tc>
        <w:tc>
          <w:tcPr>
            <w:tcW w:w="1800" w:type="dxa"/>
            <w:gridSpan w:val="2"/>
            <w:tcBorders>
              <w:right w:val="single" w:sz="4" w:space="0" w:color="000000"/>
            </w:tcBorders>
          </w:tcPr>
          <w:p>
            <w:pPr>
              <w:pStyle w:val="TableParagraph"/>
              <w:tabs>
                <w:tab w:pos="815" w:val="left" w:leader="none"/>
              </w:tabs>
              <w:spacing w:line="201" w:lineRule="exact" w:before="8"/>
              <w:ind w:left="125"/>
              <w:rPr>
                <w:rFonts w:ascii="Calibri"/>
                <w:sz w:val="18"/>
              </w:rPr>
            </w:pPr>
            <w:r>
              <w:rPr>
                <w:rFonts w:ascii="Calibri"/>
                <w:sz w:val="18"/>
              </w:rPr>
              <w:t>$</w:t>
              <w:tab/>
            </w:r>
            <w:r>
              <w:rPr>
                <w:rFonts w:ascii="Calibri"/>
                <w:spacing w:val="-3"/>
                <w:sz w:val="18"/>
              </w:rPr>
              <w:t>1,693,558</w:t>
            </w: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GF-S $50,000-$200,000</w:t>
            </w:r>
          </w:p>
        </w:tc>
        <w:tc>
          <w:tcPr>
            <w:tcW w:w="750" w:type="dxa"/>
          </w:tcPr>
          <w:p>
            <w:pPr>
              <w:pStyle w:val="TableParagraph"/>
              <w:spacing w:line="201" w:lineRule="exact" w:before="9"/>
              <w:ind w:left="11" w:right="17"/>
              <w:jc w:val="center"/>
              <w:rPr>
                <w:rFonts w:ascii="Calibri"/>
                <w:sz w:val="18"/>
              </w:rPr>
            </w:pPr>
            <w:r>
              <w:rPr>
                <w:rFonts w:ascii="Calibri"/>
                <w:sz w:val="18"/>
              </w:rPr>
              <w:t>15</w:t>
            </w:r>
          </w:p>
        </w:tc>
        <w:tc>
          <w:tcPr>
            <w:tcW w:w="1270" w:type="dxa"/>
          </w:tcPr>
          <w:p>
            <w:pPr>
              <w:pStyle w:val="TableParagraph"/>
              <w:spacing w:line="201" w:lineRule="exact" w:before="9"/>
              <w:ind w:right="82"/>
              <w:jc w:val="right"/>
              <w:rPr>
                <w:rFonts w:ascii="Calibri"/>
                <w:sz w:val="18"/>
              </w:rPr>
            </w:pPr>
            <w:r>
              <w:rPr>
                <w:rFonts w:ascii="Calibri"/>
                <w:sz w:val="18"/>
              </w:rPr>
              <w:t>78</w:t>
            </w:r>
          </w:p>
        </w:tc>
        <w:tc>
          <w:tcPr>
            <w:tcW w:w="1800" w:type="dxa"/>
            <w:gridSpan w:val="2"/>
            <w:tcBorders>
              <w:right w:val="single" w:sz="4" w:space="0" w:color="000000"/>
            </w:tcBorders>
          </w:tcPr>
          <w:p>
            <w:pPr>
              <w:pStyle w:val="TableParagraph"/>
              <w:tabs>
                <w:tab w:pos="815" w:val="left" w:leader="none"/>
              </w:tabs>
              <w:spacing w:line="201" w:lineRule="exact" w:before="9"/>
              <w:ind w:left="125"/>
              <w:rPr>
                <w:rFonts w:ascii="Calibri"/>
                <w:sz w:val="18"/>
              </w:rPr>
            </w:pPr>
            <w:r>
              <w:rPr>
                <w:rFonts w:ascii="Calibri"/>
                <w:sz w:val="18"/>
              </w:rPr>
              <w:t>$</w:t>
              <w:tab/>
            </w:r>
            <w:r>
              <w:rPr>
                <w:rFonts w:ascii="Calibri"/>
                <w:spacing w:val="-3"/>
                <w:sz w:val="18"/>
              </w:rPr>
              <w:t>1,364,530</w:t>
            </w:r>
          </w:p>
        </w:tc>
      </w:tr>
      <w:tr>
        <w:trPr>
          <w:trHeight w:val="259" w:hRule="atLeast"/>
        </w:trPr>
        <w:tc>
          <w:tcPr>
            <w:tcW w:w="5409" w:type="dxa"/>
          </w:tcPr>
          <w:p>
            <w:pPr>
              <w:pStyle w:val="TableParagraph"/>
              <w:spacing w:before="18"/>
              <w:ind w:left="34"/>
              <w:rPr>
                <w:rFonts w:ascii="Calibri"/>
                <w:sz w:val="18"/>
              </w:rPr>
            </w:pPr>
            <w:r>
              <w:rPr>
                <w:rFonts w:ascii="Calibri"/>
                <w:sz w:val="18"/>
              </w:rPr>
              <w:t>GF-S $10,000-$50,000</w:t>
            </w:r>
          </w:p>
        </w:tc>
        <w:tc>
          <w:tcPr>
            <w:tcW w:w="750" w:type="dxa"/>
          </w:tcPr>
          <w:p>
            <w:pPr>
              <w:pStyle w:val="TableParagraph"/>
              <w:spacing w:before="18"/>
              <w:ind w:left="11" w:right="17"/>
              <w:jc w:val="center"/>
              <w:rPr>
                <w:rFonts w:ascii="Calibri"/>
                <w:sz w:val="18"/>
              </w:rPr>
            </w:pPr>
            <w:r>
              <w:rPr>
                <w:rFonts w:ascii="Calibri"/>
                <w:sz w:val="18"/>
                <w:u w:val="single"/>
              </w:rPr>
              <w:t>55</w:t>
            </w:r>
          </w:p>
        </w:tc>
        <w:tc>
          <w:tcPr>
            <w:tcW w:w="1270" w:type="dxa"/>
          </w:tcPr>
          <w:p>
            <w:pPr>
              <w:pStyle w:val="TableParagraph"/>
              <w:tabs>
                <w:tab w:pos="878" w:val="left" w:leader="none"/>
              </w:tabs>
              <w:spacing w:before="18"/>
              <w:ind w:right="32"/>
              <w:jc w:val="right"/>
              <w:rPr>
                <w:rFonts w:ascii="Calibri"/>
                <w:sz w:val="18"/>
              </w:rPr>
            </w:pPr>
            <w:r>
              <w:rPr>
                <w:rFonts w:ascii="Calibri"/>
                <w:w w:val="100"/>
                <w:sz w:val="18"/>
                <w:u w:val="single"/>
              </w:rPr>
              <w:t> </w:t>
            </w:r>
            <w:r>
              <w:rPr>
                <w:rFonts w:ascii="Calibri"/>
                <w:sz w:val="18"/>
                <w:u w:val="single"/>
              </w:rPr>
              <w:tab/>
            </w:r>
            <w:r>
              <w:rPr>
                <w:rFonts w:ascii="Calibri"/>
                <w:spacing w:val="-2"/>
                <w:sz w:val="18"/>
                <w:u w:val="single"/>
              </w:rPr>
              <w:t>235</w:t>
            </w:r>
            <w:r>
              <w:rPr>
                <w:rFonts w:ascii="Calibri"/>
                <w:spacing w:val="-1"/>
                <w:sz w:val="18"/>
                <w:u w:val="single"/>
              </w:rPr>
              <w:t> </w:t>
            </w:r>
          </w:p>
        </w:tc>
        <w:tc>
          <w:tcPr>
            <w:tcW w:w="516" w:type="dxa"/>
            <w:tcBorders>
              <w:right w:val="nil"/>
            </w:tcBorders>
          </w:tcPr>
          <w:p>
            <w:pPr>
              <w:pStyle w:val="TableParagraph"/>
              <w:tabs>
                <w:tab w:pos="815" w:val="left" w:leader="none"/>
              </w:tabs>
              <w:spacing w:before="18"/>
              <w:ind w:left="85" w:right="-317"/>
              <w:rPr>
                <w:rFonts w:ascii="Calibri"/>
                <w:sz w:val="18"/>
              </w:rPr>
            </w:pPr>
            <w:r>
              <w:rPr>
                <w:rFonts w:ascii="Calibri"/>
                <w:spacing w:val="-1"/>
                <w:w w:val="100"/>
                <w:sz w:val="18"/>
                <w:u w:val="single"/>
              </w:rPr>
              <w:t> </w:t>
            </w:r>
            <w:r>
              <w:rPr>
                <w:rFonts w:ascii="Calibri"/>
                <w:sz w:val="18"/>
                <w:u w:val="single"/>
              </w:rPr>
              <w:t>$</w:t>
              <w:tab/>
            </w:r>
          </w:p>
        </w:tc>
        <w:tc>
          <w:tcPr>
            <w:tcW w:w="1284" w:type="dxa"/>
            <w:tcBorders>
              <w:left w:val="nil"/>
              <w:right w:val="single" w:sz="4" w:space="0" w:color="000000"/>
            </w:tcBorders>
          </w:tcPr>
          <w:p>
            <w:pPr>
              <w:pStyle w:val="TableParagraph"/>
              <w:spacing w:before="18"/>
              <w:ind w:right="260"/>
              <w:jc w:val="right"/>
              <w:rPr>
                <w:rFonts w:ascii="Calibri"/>
                <w:sz w:val="18"/>
              </w:rPr>
            </w:pPr>
            <w:r>
              <w:rPr>
                <w:rFonts w:ascii="Calibri"/>
                <w:sz w:val="18"/>
                <w:u w:val="single"/>
              </w:rPr>
              <w:t>1,222,107</w:t>
            </w:r>
          </w:p>
        </w:tc>
      </w:tr>
      <w:tr>
        <w:trPr>
          <w:trHeight w:val="229" w:hRule="atLeast"/>
        </w:trPr>
        <w:tc>
          <w:tcPr>
            <w:tcW w:w="5409" w:type="dxa"/>
          </w:tcPr>
          <w:p>
            <w:pPr>
              <w:pStyle w:val="TableParagraph"/>
              <w:spacing w:line="201" w:lineRule="exact" w:before="8"/>
              <w:ind w:left="34"/>
              <w:rPr>
                <w:rFonts w:ascii="Calibri"/>
                <w:sz w:val="18"/>
              </w:rPr>
            </w:pPr>
            <w:r>
              <w:rPr>
                <w:rFonts w:ascii="Calibri"/>
                <w:sz w:val="18"/>
              </w:rPr>
              <w:t>Total</w:t>
            </w:r>
          </w:p>
        </w:tc>
        <w:tc>
          <w:tcPr>
            <w:tcW w:w="750" w:type="dxa"/>
          </w:tcPr>
          <w:p>
            <w:pPr>
              <w:pStyle w:val="TableParagraph"/>
              <w:spacing w:line="201" w:lineRule="exact" w:before="8"/>
              <w:ind w:left="11" w:right="17"/>
              <w:jc w:val="center"/>
              <w:rPr>
                <w:rFonts w:ascii="Calibri"/>
                <w:sz w:val="18"/>
              </w:rPr>
            </w:pPr>
            <w:r>
              <w:rPr>
                <w:rFonts w:ascii="Calibri"/>
                <w:sz w:val="18"/>
              </w:rPr>
              <w:t>74</w:t>
            </w:r>
          </w:p>
        </w:tc>
        <w:tc>
          <w:tcPr>
            <w:tcW w:w="1270" w:type="dxa"/>
          </w:tcPr>
          <w:p>
            <w:pPr>
              <w:pStyle w:val="TableParagraph"/>
              <w:spacing w:line="201" w:lineRule="exact" w:before="8"/>
              <w:ind w:right="72"/>
              <w:jc w:val="right"/>
              <w:rPr>
                <w:rFonts w:ascii="Calibri"/>
                <w:sz w:val="18"/>
              </w:rPr>
            </w:pPr>
            <w:r>
              <w:rPr>
                <w:rFonts w:ascii="Calibri"/>
                <w:sz w:val="18"/>
              </w:rPr>
              <w:t>335</w:t>
            </w:r>
          </w:p>
        </w:tc>
        <w:tc>
          <w:tcPr>
            <w:tcW w:w="1800" w:type="dxa"/>
            <w:gridSpan w:val="2"/>
            <w:tcBorders>
              <w:right w:val="single" w:sz="4" w:space="0" w:color="000000"/>
            </w:tcBorders>
          </w:tcPr>
          <w:p>
            <w:pPr>
              <w:pStyle w:val="TableParagraph"/>
              <w:tabs>
                <w:tab w:pos="815" w:val="left" w:leader="none"/>
              </w:tabs>
              <w:spacing w:line="201" w:lineRule="exact" w:before="8"/>
              <w:ind w:left="125"/>
              <w:rPr>
                <w:rFonts w:ascii="Calibri"/>
                <w:sz w:val="18"/>
              </w:rPr>
            </w:pPr>
            <w:r>
              <w:rPr>
                <w:rFonts w:ascii="Calibri"/>
                <w:sz w:val="18"/>
              </w:rPr>
              <w:t>$</w:t>
              <w:tab/>
            </w:r>
            <w:r>
              <w:rPr>
                <w:rFonts w:ascii="Calibri"/>
                <w:spacing w:val="-3"/>
                <w:sz w:val="18"/>
              </w:rPr>
              <w:t>4,280,194</w:t>
            </w:r>
          </w:p>
        </w:tc>
      </w:tr>
      <w:tr>
        <w:trPr>
          <w:trHeight w:val="230" w:hRule="atLeast"/>
        </w:trPr>
        <w:tc>
          <w:tcPr>
            <w:tcW w:w="5409" w:type="dxa"/>
          </w:tcPr>
          <w:p>
            <w:pPr>
              <w:pStyle w:val="TableParagraph"/>
              <w:spacing w:line="201" w:lineRule="exact" w:before="9"/>
              <w:ind w:left="34"/>
              <w:rPr>
                <w:rFonts w:ascii="Calibri"/>
                <w:b/>
                <w:sz w:val="18"/>
              </w:rPr>
            </w:pPr>
            <w:r>
              <w:rPr>
                <w:rFonts w:ascii="Calibri"/>
                <w:b/>
                <w:sz w:val="18"/>
              </w:rPr>
              <w:t>Region: Southwest (Pierce, Great Rivers, and Thurston-Mason regions)</w:t>
            </w:r>
          </w:p>
        </w:tc>
        <w:tc>
          <w:tcPr>
            <w:tcW w:w="750" w:type="dxa"/>
          </w:tcPr>
          <w:p>
            <w:pPr>
              <w:pStyle w:val="TableParagraph"/>
              <w:rPr>
                <w:rFonts w:ascii="Times New Roman"/>
                <w:sz w:val="16"/>
              </w:rPr>
            </w:pPr>
          </w:p>
        </w:tc>
        <w:tc>
          <w:tcPr>
            <w:tcW w:w="1270" w:type="dxa"/>
          </w:tcPr>
          <w:p>
            <w:pPr>
              <w:pStyle w:val="TableParagraph"/>
              <w:rPr>
                <w:rFonts w:ascii="Times New Roman"/>
                <w:sz w:val="16"/>
              </w:rPr>
            </w:pPr>
          </w:p>
        </w:tc>
        <w:tc>
          <w:tcPr>
            <w:tcW w:w="1800" w:type="dxa"/>
            <w:gridSpan w:val="2"/>
            <w:tcBorders>
              <w:right w:val="single" w:sz="4" w:space="0" w:color="000000"/>
            </w:tcBorders>
          </w:tcPr>
          <w:p>
            <w:pPr>
              <w:pStyle w:val="TableParagraph"/>
              <w:rPr>
                <w:rFonts w:ascii="Times New Roman"/>
                <w:sz w:val="16"/>
              </w:rPr>
            </w:pPr>
          </w:p>
        </w:tc>
      </w:tr>
      <w:tr>
        <w:trPr>
          <w:trHeight w:val="230" w:hRule="atLeast"/>
        </w:trPr>
        <w:tc>
          <w:tcPr>
            <w:tcW w:w="5409" w:type="dxa"/>
          </w:tcPr>
          <w:p>
            <w:pPr>
              <w:pStyle w:val="TableParagraph"/>
              <w:spacing w:line="201" w:lineRule="exact" w:before="8"/>
              <w:ind w:left="34"/>
              <w:rPr>
                <w:rFonts w:ascii="Calibri"/>
                <w:sz w:val="18"/>
              </w:rPr>
            </w:pPr>
            <w:r>
              <w:rPr>
                <w:rFonts w:ascii="Calibri"/>
                <w:sz w:val="18"/>
              </w:rPr>
              <w:t>GF-S $200,000+</w:t>
            </w:r>
          </w:p>
        </w:tc>
        <w:tc>
          <w:tcPr>
            <w:tcW w:w="750" w:type="dxa"/>
          </w:tcPr>
          <w:p>
            <w:pPr>
              <w:pStyle w:val="TableParagraph"/>
              <w:spacing w:line="201" w:lineRule="exact" w:before="8"/>
              <w:ind w:right="95"/>
              <w:jc w:val="center"/>
              <w:rPr>
                <w:rFonts w:ascii="Calibri"/>
                <w:sz w:val="18"/>
              </w:rPr>
            </w:pPr>
            <w:r>
              <w:rPr>
                <w:rFonts w:ascii="Calibri"/>
                <w:w w:val="100"/>
                <w:sz w:val="18"/>
              </w:rPr>
              <w:t>5</w:t>
            </w:r>
          </w:p>
        </w:tc>
        <w:tc>
          <w:tcPr>
            <w:tcW w:w="1270" w:type="dxa"/>
          </w:tcPr>
          <w:p>
            <w:pPr>
              <w:pStyle w:val="TableParagraph"/>
              <w:spacing w:line="201" w:lineRule="exact" w:before="8"/>
              <w:ind w:right="82"/>
              <w:jc w:val="right"/>
              <w:rPr>
                <w:rFonts w:ascii="Calibri"/>
                <w:sz w:val="18"/>
              </w:rPr>
            </w:pPr>
            <w:r>
              <w:rPr>
                <w:rFonts w:ascii="Calibri"/>
                <w:sz w:val="18"/>
              </w:rPr>
              <w:t>34</w:t>
            </w:r>
          </w:p>
        </w:tc>
        <w:tc>
          <w:tcPr>
            <w:tcW w:w="1800" w:type="dxa"/>
            <w:gridSpan w:val="2"/>
            <w:tcBorders>
              <w:right w:val="single" w:sz="4" w:space="0" w:color="000000"/>
            </w:tcBorders>
          </w:tcPr>
          <w:p>
            <w:pPr>
              <w:pStyle w:val="TableParagraph"/>
              <w:tabs>
                <w:tab w:pos="945" w:val="left" w:leader="none"/>
              </w:tabs>
              <w:spacing w:line="201" w:lineRule="exact" w:before="8"/>
              <w:ind w:left="135"/>
              <w:rPr>
                <w:rFonts w:ascii="Calibri"/>
                <w:sz w:val="18"/>
              </w:rPr>
            </w:pPr>
            <w:r>
              <w:rPr>
                <w:rFonts w:ascii="Calibri"/>
                <w:sz w:val="18"/>
              </w:rPr>
              <w:t>$</w:t>
              <w:tab/>
            </w:r>
            <w:r>
              <w:rPr>
                <w:rFonts w:ascii="Calibri"/>
                <w:spacing w:val="-3"/>
                <w:sz w:val="18"/>
              </w:rPr>
              <w:t>217,265</w:t>
            </w: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GF-S $50,000-$200,000</w:t>
            </w:r>
          </w:p>
        </w:tc>
        <w:tc>
          <w:tcPr>
            <w:tcW w:w="750" w:type="dxa"/>
          </w:tcPr>
          <w:p>
            <w:pPr>
              <w:pStyle w:val="TableParagraph"/>
              <w:spacing w:line="201" w:lineRule="exact" w:before="9"/>
              <w:ind w:left="11" w:right="17"/>
              <w:jc w:val="center"/>
              <w:rPr>
                <w:rFonts w:ascii="Calibri"/>
                <w:sz w:val="18"/>
              </w:rPr>
            </w:pPr>
            <w:r>
              <w:rPr>
                <w:rFonts w:ascii="Calibri"/>
                <w:sz w:val="18"/>
              </w:rPr>
              <w:t>21</w:t>
            </w:r>
          </w:p>
        </w:tc>
        <w:tc>
          <w:tcPr>
            <w:tcW w:w="1270" w:type="dxa"/>
          </w:tcPr>
          <w:p>
            <w:pPr>
              <w:pStyle w:val="TableParagraph"/>
              <w:spacing w:line="201" w:lineRule="exact" w:before="9"/>
              <w:ind w:right="72"/>
              <w:jc w:val="right"/>
              <w:rPr>
                <w:rFonts w:ascii="Calibri"/>
                <w:sz w:val="18"/>
              </w:rPr>
            </w:pPr>
            <w:r>
              <w:rPr>
                <w:rFonts w:ascii="Calibri"/>
                <w:sz w:val="18"/>
              </w:rPr>
              <w:t>111</w:t>
            </w:r>
          </w:p>
        </w:tc>
        <w:tc>
          <w:tcPr>
            <w:tcW w:w="1800" w:type="dxa"/>
            <w:gridSpan w:val="2"/>
            <w:tcBorders>
              <w:right w:val="single" w:sz="4" w:space="0" w:color="000000"/>
            </w:tcBorders>
          </w:tcPr>
          <w:p>
            <w:pPr>
              <w:pStyle w:val="TableParagraph"/>
              <w:tabs>
                <w:tab w:pos="815" w:val="left" w:leader="none"/>
              </w:tabs>
              <w:spacing w:line="201" w:lineRule="exact" w:before="9"/>
              <w:ind w:left="125"/>
              <w:rPr>
                <w:rFonts w:ascii="Calibri"/>
                <w:sz w:val="18"/>
              </w:rPr>
            </w:pPr>
            <w:r>
              <w:rPr>
                <w:rFonts w:ascii="Calibri"/>
                <w:sz w:val="18"/>
              </w:rPr>
              <w:t>$</w:t>
              <w:tab/>
            </w:r>
            <w:r>
              <w:rPr>
                <w:rFonts w:ascii="Calibri"/>
                <w:spacing w:val="-3"/>
                <w:sz w:val="18"/>
              </w:rPr>
              <w:t>1,835,161</w:t>
            </w:r>
          </w:p>
        </w:tc>
      </w:tr>
      <w:tr>
        <w:trPr>
          <w:trHeight w:val="260" w:hRule="atLeast"/>
        </w:trPr>
        <w:tc>
          <w:tcPr>
            <w:tcW w:w="5409" w:type="dxa"/>
          </w:tcPr>
          <w:p>
            <w:pPr>
              <w:pStyle w:val="TableParagraph"/>
              <w:spacing w:before="18"/>
              <w:ind w:left="34"/>
              <w:rPr>
                <w:rFonts w:ascii="Calibri"/>
                <w:sz w:val="18"/>
              </w:rPr>
            </w:pPr>
            <w:r>
              <w:rPr>
                <w:rFonts w:ascii="Calibri"/>
                <w:sz w:val="18"/>
              </w:rPr>
              <w:t>GF-S $10,000-$50,000</w:t>
            </w:r>
          </w:p>
        </w:tc>
        <w:tc>
          <w:tcPr>
            <w:tcW w:w="750" w:type="dxa"/>
          </w:tcPr>
          <w:p>
            <w:pPr>
              <w:pStyle w:val="TableParagraph"/>
              <w:spacing w:before="18"/>
              <w:ind w:left="11" w:right="17"/>
              <w:jc w:val="center"/>
              <w:rPr>
                <w:rFonts w:ascii="Calibri"/>
                <w:sz w:val="18"/>
              </w:rPr>
            </w:pPr>
            <w:r>
              <w:rPr>
                <w:rFonts w:ascii="Calibri"/>
                <w:sz w:val="18"/>
                <w:u w:val="single"/>
              </w:rPr>
              <w:t>85</w:t>
            </w:r>
          </w:p>
        </w:tc>
        <w:tc>
          <w:tcPr>
            <w:tcW w:w="1270" w:type="dxa"/>
          </w:tcPr>
          <w:p>
            <w:pPr>
              <w:pStyle w:val="TableParagraph"/>
              <w:tabs>
                <w:tab w:pos="878" w:val="left" w:leader="none"/>
              </w:tabs>
              <w:spacing w:before="18"/>
              <w:ind w:right="32"/>
              <w:jc w:val="right"/>
              <w:rPr>
                <w:rFonts w:ascii="Calibri"/>
                <w:sz w:val="18"/>
              </w:rPr>
            </w:pPr>
            <w:r>
              <w:rPr>
                <w:rFonts w:ascii="Calibri"/>
                <w:w w:val="100"/>
                <w:sz w:val="18"/>
                <w:u w:val="single"/>
              </w:rPr>
              <w:t> </w:t>
            </w:r>
            <w:r>
              <w:rPr>
                <w:rFonts w:ascii="Calibri"/>
                <w:sz w:val="18"/>
                <w:u w:val="single"/>
              </w:rPr>
              <w:tab/>
            </w:r>
            <w:r>
              <w:rPr>
                <w:rFonts w:ascii="Calibri"/>
                <w:spacing w:val="-2"/>
                <w:sz w:val="18"/>
                <w:u w:val="single"/>
              </w:rPr>
              <w:t>342</w:t>
            </w:r>
            <w:r>
              <w:rPr>
                <w:rFonts w:ascii="Calibri"/>
                <w:spacing w:val="-1"/>
                <w:sz w:val="18"/>
                <w:u w:val="single"/>
              </w:rPr>
              <w:t> </w:t>
            </w:r>
          </w:p>
        </w:tc>
        <w:tc>
          <w:tcPr>
            <w:tcW w:w="516" w:type="dxa"/>
            <w:tcBorders>
              <w:right w:val="nil"/>
            </w:tcBorders>
          </w:tcPr>
          <w:p>
            <w:pPr>
              <w:pStyle w:val="TableParagraph"/>
              <w:tabs>
                <w:tab w:pos="815" w:val="left" w:leader="none"/>
              </w:tabs>
              <w:spacing w:before="18"/>
              <w:ind w:left="85" w:right="-317"/>
              <w:rPr>
                <w:rFonts w:ascii="Calibri"/>
                <w:sz w:val="18"/>
              </w:rPr>
            </w:pPr>
            <w:r>
              <w:rPr>
                <w:rFonts w:ascii="Calibri"/>
                <w:spacing w:val="-1"/>
                <w:w w:val="100"/>
                <w:sz w:val="18"/>
                <w:u w:val="single"/>
              </w:rPr>
              <w:t> </w:t>
            </w:r>
            <w:r>
              <w:rPr>
                <w:rFonts w:ascii="Calibri"/>
                <w:sz w:val="18"/>
                <w:u w:val="single"/>
              </w:rPr>
              <w:t>$</w:t>
              <w:tab/>
            </w:r>
          </w:p>
        </w:tc>
        <w:tc>
          <w:tcPr>
            <w:tcW w:w="1284" w:type="dxa"/>
            <w:tcBorders>
              <w:left w:val="nil"/>
              <w:right w:val="single" w:sz="4" w:space="0" w:color="000000"/>
            </w:tcBorders>
          </w:tcPr>
          <w:p>
            <w:pPr>
              <w:pStyle w:val="TableParagraph"/>
              <w:spacing w:before="18"/>
              <w:ind w:right="260"/>
              <w:jc w:val="right"/>
              <w:rPr>
                <w:rFonts w:ascii="Calibri"/>
                <w:sz w:val="18"/>
              </w:rPr>
            </w:pPr>
            <w:r>
              <w:rPr>
                <w:rFonts w:ascii="Calibri"/>
                <w:sz w:val="18"/>
                <w:u w:val="single"/>
              </w:rPr>
              <w:t>1,810,347</w:t>
            </w:r>
          </w:p>
        </w:tc>
      </w:tr>
      <w:tr>
        <w:trPr>
          <w:trHeight w:val="229" w:hRule="atLeast"/>
        </w:trPr>
        <w:tc>
          <w:tcPr>
            <w:tcW w:w="5409" w:type="dxa"/>
          </w:tcPr>
          <w:p>
            <w:pPr>
              <w:pStyle w:val="TableParagraph"/>
              <w:spacing w:line="201" w:lineRule="exact" w:before="8"/>
              <w:ind w:left="34"/>
              <w:rPr>
                <w:rFonts w:ascii="Calibri"/>
                <w:sz w:val="18"/>
              </w:rPr>
            </w:pPr>
            <w:r>
              <w:rPr>
                <w:rFonts w:ascii="Calibri"/>
                <w:sz w:val="18"/>
              </w:rPr>
              <w:t>Total</w:t>
            </w:r>
          </w:p>
        </w:tc>
        <w:tc>
          <w:tcPr>
            <w:tcW w:w="750" w:type="dxa"/>
          </w:tcPr>
          <w:p>
            <w:pPr>
              <w:pStyle w:val="TableParagraph"/>
              <w:spacing w:line="201" w:lineRule="exact" w:before="8"/>
              <w:ind w:left="98" w:right="17"/>
              <w:jc w:val="center"/>
              <w:rPr>
                <w:rFonts w:ascii="Calibri"/>
                <w:sz w:val="18"/>
              </w:rPr>
            </w:pPr>
            <w:r>
              <w:rPr>
                <w:rFonts w:ascii="Calibri"/>
                <w:sz w:val="18"/>
              </w:rPr>
              <w:t>111</w:t>
            </w:r>
          </w:p>
        </w:tc>
        <w:tc>
          <w:tcPr>
            <w:tcW w:w="1270" w:type="dxa"/>
          </w:tcPr>
          <w:p>
            <w:pPr>
              <w:pStyle w:val="TableParagraph"/>
              <w:spacing w:line="201" w:lineRule="exact" w:before="8"/>
              <w:ind w:right="72"/>
              <w:jc w:val="right"/>
              <w:rPr>
                <w:rFonts w:ascii="Calibri"/>
                <w:sz w:val="18"/>
              </w:rPr>
            </w:pPr>
            <w:r>
              <w:rPr>
                <w:rFonts w:ascii="Calibri"/>
                <w:sz w:val="18"/>
              </w:rPr>
              <w:t>487</w:t>
            </w:r>
          </w:p>
        </w:tc>
        <w:tc>
          <w:tcPr>
            <w:tcW w:w="1800" w:type="dxa"/>
            <w:gridSpan w:val="2"/>
            <w:tcBorders>
              <w:right w:val="single" w:sz="4" w:space="0" w:color="000000"/>
            </w:tcBorders>
          </w:tcPr>
          <w:p>
            <w:pPr>
              <w:pStyle w:val="TableParagraph"/>
              <w:tabs>
                <w:tab w:pos="815" w:val="left" w:leader="none"/>
              </w:tabs>
              <w:spacing w:line="201" w:lineRule="exact" w:before="8"/>
              <w:ind w:left="125"/>
              <w:rPr>
                <w:rFonts w:ascii="Calibri"/>
                <w:sz w:val="18"/>
              </w:rPr>
            </w:pPr>
            <w:r>
              <w:rPr>
                <w:rFonts w:ascii="Calibri"/>
                <w:sz w:val="18"/>
              </w:rPr>
              <w:t>$</w:t>
              <w:tab/>
            </w:r>
            <w:r>
              <w:rPr>
                <w:rFonts w:ascii="Calibri"/>
                <w:spacing w:val="-3"/>
                <w:sz w:val="18"/>
              </w:rPr>
              <w:t>3,862,772</w:t>
            </w:r>
          </w:p>
        </w:tc>
      </w:tr>
      <w:tr>
        <w:trPr>
          <w:trHeight w:val="230" w:hRule="atLeast"/>
        </w:trPr>
        <w:tc>
          <w:tcPr>
            <w:tcW w:w="5409" w:type="dxa"/>
          </w:tcPr>
          <w:p>
            <w:pPr>
              <w:pStyle w:val="TableParagraph"/>
              <w:spacing w:line="201" w:lineRule="exact" w:before="9"/>
              <w:ind w:left="34"/>
              <w:rPr>
                <w:rFonts w:ascii="Calibri"/>
                <w:b/>
                <w:sz w:val="18"/>
              </w:rPr>
            </w:pPr>
            <w:r>
              <w:rPr>
                <w:rFonts w:ascii="Calibri"/>
                <w:b/>
                <w:sz w:val="18"/>
              </w:rPr>
              <w:t>Statewide GF-S Total for 2017</w:t>
            </w:r>
          </w:p>
        </w:tc>
        <w:tc>
          <w:tcPr>
            <w:tcW w:w="750" w:type="dxa"/>
          </w:tcPr>
          <w:p>
            <w:pPr>
              <w:pStyle w:val="TableParagraph"/>
              <w:rPr>
                <w:rFonts w:ascii="Times New Roman"/>
                <w:sz w:val="16"/>
              </w:rPr>
            </w:pPr>
          </w:p>
        </w:tc>
        <w:tc>
          <w:tcPr>
            <w:tcW w:w="1270" w:type="dxa"/>
          </w:tcPr>
          <w:p>
            <w:pPr>
              <w:pStyle w:val="TableParagraph"/>
              <w:rPr>
                <w:rFonts w:ascii="Times New Roman"/>
                <w:sz w:val="16"/>
              </w:rPr>
            </w:pPr>
          </w:p>
        </w:tc>
        <w:tc>
          <w:tcPr>
            <w:tcW w:w="1800" w:type="dxa"/>
            <w:gridSpan w:val="2"/>
            <w:tcBorders>
              <w:right w:val="single" w:sz="4" w:space="0" w:color="000000"/>
            </w:tcBorders>
          </w:tcPr>
          <w:p>
            <w:pPr>
              <w:pStyle w:val="TableParagraph"/>
              <w:rPr>
                <w:rFonts w:ascii="Times New Roman"/>
                <w:sz w:val="16"/>
              </w:rPr>
            </w:pP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GF-S $200,000+</w:t>
            </w:r>
          </w:p>
        </w:tc>
        <w:tc>
          <w:tcPr>
            <w:tcW w:w="750" w:type="dxa"/>
          </w:tcPr>
          <w:p>
            <w:pPr>
              <w:pStyle w:val="TableParagraph"/>
              <w:spacing w:line="201" w:lineRule="exact" w:before="9"/>
              <w:ind w:left="11" w:right="17"/>
              <w:jc w:val="center"/>
              <w:rPr>
                <w:rFonts w:ascii="Calibri"/>
                <w:b/>
                <w:sz w:val="18"/>
              </w:rPr>
            </w:pPr>
            <w:r>
              <w:rPr>
                <w:rFonts w:ascii="Calibri"/>
                <w:b/>
                <w:sz w:val="18"/>
              </w:rPr>
              <w:t>23</w:t>
            </w:r>
          </w:p>
        </w:tc>
        <w:tc>
          <w:tcPr>
            <w:tcW w:w="1270" w:type="dxa"/>
          </w:tcPr>
          <w:p>
            <w:pPr>
              <w:pStyle w:val="TableParagraph"/>
              <w:spacing w:line="201" w:lineRule="exact" w:before="9"/>
              <w:ind w:right="22"/>
              <w:jc w:val="right"/>
              <w:rPr>
                <w:rFonts w:ascii="Calibri"/>
                <w:b/>
                <w:sz w:val="18"/>
              </w:rPr>
            </w:pPr>
            <w:r>
              <w:rPr>
                <w:rFonts w:ascii="Calibri"/>
                <w:b/>
                <w:sz w:val="18"/>
              </w:rPr>
              <w:t>116</w:t>
            </w:r>
          </w:p>
        </w:tc>
        <w:tc>
          <w:tcPr>
            <w:tcW w:w="1800" w:type="dxa"/>
            <w:gridSpan w:val="2"/>
            <w:tcBorders>
              <w:right w:val="single" w:sz="4" w:space="0" w:color="000000"/>
            </w:tcBorders>
          </w:tcPr>
          <w:p>
            <w:pPr>
              <w:pStyle w:val="TableParagraph"/>
              <w:tabs>
                <w:tab w:pos="705" w:val="left" w:leader="none"/>
              </w:tabs>
              <w:spacing w:line="201" w:lineRule="exact" w:before="9"/>
              <w:ind w:left="135"/>
              <w:rPr>
                <w:rFonts w:ascii="Calibri"/>
                <w:b/>
                <w:sz w:val="18"/>
              </w:rPr>
            </w:pPr>
            <w:r>
              <w:rPr>
                <w:rFonts w:ascii="Calibri"/>
                <w:b/>
                <w:sz w:val="18"/>
              </w:rPr>
              <w:t>$</w:t>
              <w:tab/>
              <w:t>10,113,230</w:t>
            </w:r>
          </w:p>
        </w:tc>
      </w:tr>
      <w:tr>
        <w:trPr>
          <w:trHeight w:val="230" w:hRule="atLeast"/>
        </w:trPr>
        <w:tc>
          <w:tcPr>
            <w:tcW w:w="5409" w:type="dxa"/>
          </w:tcPr>
          <w:p>
            <w:pPr>
              <w:pStyle w:val="TableParagraph"/>
              <w:spacing w:line="202" w:lineRule="exact" w:before="8"/>
              <w:ind w:left="34"/>
              <w:rPr>
                <w:rFonts w:ascii="Calibri"/>
                <w:sz w:val="18"/>
              </w:rPr>
            </w:pPr>
            <w:r>
              <w:rPr>
                <w:rFonts w:ascii="Calibri"/>
                <w:sz w:val="18"/>
              </w:rPr>
              <w:t>GF-S $50,000-$200,000</w:t>
            </w:r>
          </w:p>
        </w:tc>
        <w:tc>
          <w:tcPr>
            <w:tcW w:w="750" w:type="dxa"/>
          </w:tcPr>
          <w:p>
            <w:pPr>
              <w:pStyle w:val="TableParagraph"/>
              <w:spacing w:line="202" w:lineRule="exact" w:before="8"/>
              <w:ind w:left="11" w:right="17"/>
              <w:jc w:val="center"/>
              <w:rPr>
                <w:rFonts w:ascii="Calibri"/>
                <w:b/>
                <w:sz w:val="18"/>
              </w:rPr>
            </w:pPr>
            <w:r>
              <w:rPr>
                <w:rFonts w:ascii="Calibri"/>
                <w:b/>
                <w:sz w:val="18"/>
              </w:rPr>
              <w:t>76</w:t>
            </w:r>
          </w:p>
        </w:tc>
        <w:tc>
          <w:tcPr>
            <w:tcW w:w="1270" w:type="dxa"/>
          </w:tcPr>
          <w:p>
            <w:pPr>
              <w:pStyle w:val="TableParagraph"/>
              <w:spacing w:line="202" w:lineRule="exact" w:before="8"/>
              <w:ind w:right="22"/>
              <w:jc w:val="right"/>
              <w:rPr>
                <w:rFonts w:ascii="Calibri"/>
                <w:b/>
                <w:sz w:val="18"/>
              </w:rPr>
            </w:pPr>
            <w:r>
              <w:rPr>
                <w:rFonts w:ascii="Calibri"/>
                <w:b/>
                <w:sz w:val="18"/>
              </w:rPr>
              <w:t>329</w:t>
            </w:r>
          </w:p>
        </w:tc>
        <w:tc>
          <w:tcPr>
            <w:tcW w:w="1800" w:type="dxa"/>
            <w:gridSpan w:val="2"/>
            <w:tcBorders>
              <w:right w:val="single" w:sz="4" w:space="0" w:color="000000"/>
            </w:tcBorders>
          </w:tcPr>
          <w:p>
            <w:pPr>
              <w:pStyle w:val="TableParagraph"/>
              <w:tabs>
                <w:tab w:pos="795" w:val="left" w:leader="none"/>
              </w:tabs>
              <w:spacing w:line="202" w:lineRule="exact" w:before="8"/>
              <w:ind w:left="145"/>
              <w:rPr>
                <w:rFonts w:ascii="Calibri"/>
                <w:b/>
                <w:sz w:val="18"/>
              </w:rPr>
            </w:pPr>
            <w:r>
              <w:rPr>
                <w:rFonts w:ascii="Calibri"/>
                <w:b/>
                <w:sz w:val="18"/>
              </w:rPr>
              <w:t>$</w:t>
              <w:tab/>
              <w:t>6,533,391</w:t>
            </w:r>
          </w:p>
        </w:tc>
      </w:tr>
      <w:tr>
        <w:trPr>
          <w:trHeight w:val="259" w:hRule="atLeast"/>
        </w:trPr>
        <w:tc>
          <w:tcPr>
            <w:tcW w:w="5409" w:type="dxa"/>
          </w:tcPr>
          <w:p>
            <w:pPr>
              <w:pStyle w:val="TableParagraph"/>
              <w:spacing w:before="18"/>
              <w:ind w:left="34"/>
              <w:rPr>
                <w:rFonts w:ascii="Calibri"/>
                <w:sz w:val="18"/>
              </w:rPr>
            </w:pPr>
            <w:r>
              <w:rPr>
                <w:rFonts w:ascii="Calibri"/>
                <w:sz w:val="18"/>
              </w:rPr>
              <w:t>GF-S $10,000-$50,000</w:t>
            </w:r>
          </w:p>
        </w:tc>
        <w:tc>
          <w:tcPr>
            <w:tcW w:w="750" w:type="dxa"/>
          </w:tcPr>
          <w:p>
            <w:pPr>
              <w:pStyle w:val="TableParagraph"/>
              <w:spacing w:before="18"/>
              <w:ind w:left="98" w:right="17"/>
              <w:jc w:val="center"/>
              <w:rPr>
                <w:rFonts w:ascii="Calibri"/>
                <w:b/>
                <w:sz w:val="18"/>
              </w:rPr>
            </w:pPr>
            <w:r>
              <w:rPr>
                <w:rFonts w:ascii="Calibri"/>
                <w:b/>
                <w:sz w:val="18"/>
                <w:u w:val="single"/>
              </w:rPr>
              <w:t>201</w:t>
            </w:r>
          </w:p>
        </w:tc>
        <w:tc>
          <w:tcPr>
            <w:tcW w:w="1270" w:type="dxa"/>
          </w:tcPr>
          <w:p>
            <w:pPr>
              <w:pStyle w:val="TableParagraph"/>
              <w:spacing w:before="18"/>
              <w:ind w:right="22"/>
              <w:jc w:val="right"/>
              <w:rPr>
                <w:rFonts w:ascii="Calibri"/>
                <w:b/>
                <w:sz w:val="18"/>
              </w:rPr>
            </w:pPr>
            <w:r>
              <w:rPr>
                <w:rFonts w:ascii="Calibri"/>
                <w:b/>
                <w:sz w:val="18"/>
                <w:u w:val="single"/>
              </w:rPr>
              <w:t>841</w:t>
            </w:r>
          </w:p>
        </w:tc>
        <w:tc>
          <w:tcPr>
            <w:tcW w:w="516" w:type="dxa"/>
            <w:tcBorders>
              <w:right w:val="nil"/>
            </w:tcBorders>
          </w:tcPr>
          <w:p>
            <w:pPr>
              <w:pStyle w:val="TableParagraph"/>
              <w:tabs>
                <w:tab w:pos="795" w:val="left" w:leader="none"/>
              </w:tabs>
              <w:spacing w:before="18"/>
              <w:ind w:left="105" w:right="-288"/>
              <w:rPr>
                <w:rFonts w:ascii="Calibri"/>
                <w:b/>
                <w:sz w:val="18"/>
              </w:rPr>
            </w:pPr>
            <w:r>
              <w:rPr>
                <w:rFonts w:ascii="Calibri"/>
                <w:b/>
                <w:spacing w:val="-1"/>
                <w:w w:val="100"/>
                <w:sz w:val="18"/>
                <w:u w:val="single"/>
              </w:rPr>
              <w:t> </w:t>
            </w:r>
            <w:r>
              <w:rPr>
                <w:rFonts w:ascii="Calibri"/>
                <w:b/>
                <w:sz w:val="18"/>
                <w:u w:val="single"/>
              </w:rPr>
              <w:t>$</w:t>
              <w:tab/>
            </w:r>
          </w:p>
        </w:tc>
        <w:tc>
          <w:tcPr>
            <w:tcW w:w="1284" w:type="dxa"/>
            <w:tcBorders>
              <w:left w:val="nil"/>
              <w:right w:val="single" w:sz="4" w:space="0" w:color="000000"/>
            </w:tcBorders>
          </w:tcPr>
          <w:p>
            <w:pPr>
              <w:pStyle w:val="TableParagraph"/>
              <w:spacing w:before="18"/>
              <w:ind w:right="222"/>
              <w:jc w:val="right"/>
              <w:rPr>
                <w:rFonts w:ascii="Calibri"/>
                <w:b/>
                <w:sz w:val="18"/>
              </w:rPr>
            </w:pPr>
            <w:r>
              <w:rPr>
                <w:rFonts w:ascii="Calibri"/>
                <w:b/>
                <w:sz w:val="18"/>
                <w:u w:val="single"/>
              </w:rPr>
              <w:t>4,377,172 </w:t>
            </w:r>
          </w:p>
        </w:tc>
      </w:tr>
      <w:tr>
        <w:trPr>
          <w:trHeight w:val="230" w:hRule="atLeast"/>
        </w:trPr>
        <w:tc>
          <w:tcPr>
            <w:tcW w:w="5409" w:type="dxa"/>
          </w:tcPr>
          <w:p>
            <w:pPr>
              <w:pStyle w:val="TableParagraph"/>
              <w:spacing w:line="201" w:lineRule="exact" w:before="9"/>
              <w:ind w:left="34"/>
              <w:rPr>
                <w:rFonts w:ascii="Calibri"/>
                <w:sz w:val="18"/>
              </w:rPr>
            </w:pPr>
            <w:r>
              <w:rPr>
                <w:rFonts w:ascii="Calibri"/>
                <w:sz w:val="18"/>
              </w:rPr>
              <w:t>Total</w:t>
            </w:r>
          </w:p>
        </w:tc>
        <w:tc>
          <w:tcPr>
            <w:tcW w:w="750" w:type="dxa"/>
          </w:tcPr>
          <w:p>
            <w:pPr>
              <w:pStyle w:val="TableParagraph"/>
              <w:spacing w:line="201" w:lineRule="exact" w:before="9"/>
              <w:ind w:left="98" w:right="17"/>
              <w:jc w:val="center"/>
              <w:rPr>
                <w:rFonts w:ascii="Calibri"/>
                <w:b/>
                <w:sz w:val="18"/>
              </w:rPr>
            </w:pPr>
            <w:r>
              <w:rPr>
                <w:rFonts w:ascii="Calibri"/>
                <w:b/>
                <w:sz w:val="18"/>
              </w:rPr>
              <w:t>300</w:t>
            </w:r>
          </w:p>
        </w:tc>
        <w:tc>
          <w:tcPr>
            <w:tcW w:w="1270" w:type="dxa"/>
          </w:tcPr>
          <w:p>
            <w:pPr>
              <w:pStyle w:val="TableParagraph"/>
              <w:spacing w:line="201" w:lineRule="exact" w:before="9"/>
              <w:ind w:right="22"/>
              <w:jc w:val="right"/>
              <w:rPr>
                <w:rFonts w:ascii="Calibri"/>
                <w:b/>
                <w:sz w:val="18"/>
              </w:rPr>
            </w:pPr>
            <w:r>
              <w:rPr>
                <w:rFonts w:ascii="Calibri"/>
                <w:b/>
                <w:sz w:val="18"/>
              </w:rPr>
              <w:t>1286</w:t>
            </w:r>
          </w:p>
        </w:tc>
        <w:tc>
          <w:tcPr>
            <w:tcW w:w="1800" w:type="dxa"/>
            <w:gridSpan w:val="2"/>
            <w:tcBorders>
              <w:right w:val="single" w:sz="4" w:space="0" w:color="000000"/>
            </w:tcBorders>
          </w:tcPr>
          <w:p>
            <w:pPr>
              <w:pStyle w:val="TableParagraph"/>
              <w:tabs>
                <w:tab w:pos="705" w:val="left" w:leader="none"/>
              </w:tabs>
              <w:spacing w:line="201" w:lineRule="exact" w:before="9"/>
              <w:ind w:left="135"/>
              <w:rPr>
                <w:rFonts w:ascii="Calibri"/>
                <w:b/>
                <w:sz w:val="18"/>
              </w:rPr>
            </w:pPr>
            <w:r>
              <w:rPr>
                <w:rFonts w:ascii="Calibri"/>
                <w:b/>
                <w:sz w:val="18"/>
              </w:rPr>
              <w:t>$</w:t>
              <w:tab/>
              <w:t>18,751,334</w:t>
            </w:r>
          </w:p>
        </w:tc>
      </w:tr>
    </w:tbl>
    <w:p>
      <w:pPr>
        <w:spacing w:after="0" w:line="201" w:lineRule="exact"/>
        <w:rPr>
          <w:rFonts w:ascii="Calibri"/>
          <w:sz w:val="18"/>
        </w:rPr>
        <w:sectPr>
          <w:pgSz w:w="12240" w:h="15840"/>
          <w:pgMar w:header="0" w:footer="1277" w:top="1360" w:bottom="1540" w:left="620" w:right="740"/>
        </w:sectPr>
      </w:pPr>
    </w:p>
    <w:p>
      <w:pPr>
        <w:spacing w:before="81" w:after="14"/>
        <w:ind w:left="820" w:right="0" w:firstLine="0"/>
        <w:jc w:val="left"/>
        <w:rPr>
          <w:rFonts w:ascii="Tahoma" w:hAnsi="Tahoma"/>
          <w:b/>
          <w:sz w:val="20"/>
        </w:rPr>
      </w:pPr>
      <w:r>
        <w:rPr>
          <w:rFonts w:ascii="Tahoma" w:hAnsi="Tahoma"/>
          <w:b/>
          <w:color w:val="252525"/>
          <w:sz w:val="20"/>
        </w:rPr>
        <w:t>Table 2: Estimated Savings to State General Fund — Optimistic Scenario</w:t>
      </w:r>
    </w:p>
    <w:p>
      <w:pPr>
        <w:pStyle w:val="BodyText"/>
        <w:ind w:left="834"/>
        <w:rPr>
          <w:rFonts w:ascii="Tahoma"/>
          <w:sz w:val="20"/>
        </w:rPr>
      </w:pPr>
      <w:r>
        <w:rPr>
          <w:rFonts w:ascii="Tahoma"/>
          <w:sz w:val="20"/>
        </w:rPr>
        <w:pict>
          <v:group style="width:491.1pt;height:412.6pt;mso-position-horizontal-relative:char;mso-position-vertical-relative:line" coordorigin="0,0" coordsize="9822,8252">
            <v:shape style="position:absolute;left:15;top:14;width:9792;height:8224" type="#_x0000_t75" stroked="false">
              <v:imagedata r:id="rId42" o:title=""/>
            </v:shape>
            <v:rect style="position:absolute;left:7;top:7;width:9807;height:8237" filled="false" stroked="true" strokeweight=".75pt" strokecolor="#5c5c5c">
              <v:stroke dashstyle="solid"/>
            </v:rect>
          </v:group>
        </w:pict>
      </w:r>
      <w:r>
        <w:rPr>
          <w:rFonts w:ascii="Tahoma"/>
          <w:sz w:val="20"/>
        </w:rPr>
      </w:r>
    </w:p>
    <w:p>
      <w:pPr>
        <w:spacing w:after="0"/>
        <w:rPr>
          <w:rFonts w:ascii="Tahoma"/>
          <w:sz w:val="20"/>
        </w:rPr>
        <w:sectPr>
          <w:pgSz w:w="12240" w:h="15840"/>
          <w:pgMar w:header="0" w:footer="1277" w:top="1360" w:bottom="1540" w:left="620" w:right="740"/>
        </w:sectPr>
      </w:pPr>
    </w:p>
    <w:p>
      <w:pPr>
        <w:spacing w:before="81" w:after="14"/>
        <w:ind w:left="820" w:right="0" w:firstLine="0"/>
        <w:jc w:val="left"/>
        <w:rPr>
          <w:rFonts w:ascii="Tahoma" w:hAnsi="Tahoma"/>
          <w:b/>
          <w:sz w:val="20"/>
        </w:rPr>
      </w:pPr>
      <w:r>
        <w:rPr>
          <w:rFonts w:ascii="Tahoma" w:hAnsi="Tahoma"/>
          <w:b/>
          <w:color w:val="252525"/>
          <w:sz w:val="20"/>
        </w:rPr>
        <w:t>Table 3: Estimated Savings to State General Fund — Baseline Scenario</w:t>
      </w:r>
    </w:p>
    <w:p>
      <w:pPr>
        <w:pStyle w:val="BodyText"/>
        <w:ind w:left="834"/>
        <w:rPr>
          <w:rFonts w:ascii="Tahoma"/>
          <w:sz w:val="20"/>
        </w:rPr>
      </w:pPr>
      <w:r>
        <w:rPr>
          <w:rFonts w:ascii="Tahoma"/>
          <w:sz w:val="20"/>
        </w:rPr>
        <w:pict>
          <v:group style="width:491.1pt;height:412.6pt;mso-position-horizontal-relative:char;mso-position-vertical-relative:line" coordorigin="0,0" coordsize="9822,8252">
            <v:shape style="position:absolute;left:15;top:14;width:9792;height:8224" type="#_x0000_t75" stroked="false">
              <v:imagedata r:id="rId43" o:title=""/>
            </v:shape>
            <v:rect style="position:absolute;left:7;top:7;width:9807;height:8237" filled="false" stroked="true" strokeweight=".75pt" strokecolor="#5c5c5c">
              <v:stroke dashstyle="solid"/>
            </v:rect>
          </v:group>
        </w:pict>
      </w:r>
      <w:r>
        <w:rPr>
          <w:rFonts w:ascii="Tahoma"/>
          <w:sz w:val="20"/>
        </w:rPr>
      </w:r>
    </w:p>
    <w:p>
      <w:pPr>
        <w:spacing w:after="0"/>
        <w:rPr>
          <w:rFonts w:ascii="Tahoma"/>
          <w:sz w:val="20"/>
        </w:rPr>
        <w:sectPr>
          <w:pgSz w:w="12240" w:h="15840"/>
          <w:pgMar w:header="0" w:footer="1277" w:top="1360" w:bottom="1540" w:left="620" w:right="740"/>
        </w:sectPr>
      </w:pPr>
    </w:p>
    <w:p>
      <w:pPr>
        <w:spacing w:before="81" w:after="14"/>
        <w:ind w:left="820" w:right="0" w:firstLine="0"/>
        <w:jc w:val="left"/>
        <w:rPr>
          <w:rFonts w:ascii="Tahoma" w:hAnsi="Tahoma"/>
          <w:b/>
          <w:sz w:val="20"/>
        </w:rPr>
      </w:pPr>
      <w:r>
        <w:rPr>
          <w:rFonts w:ascii="Tahoma" w:hAnsi="Tahoma"/>
          <w:b/>
          <w:color w:val="252525"/>
          <w:sz w:val="20"/>
        </w:rPr>
        <w:t>Table 4: Estimated Savings to State General Fund — Pessimistic Scenario</w:t>
      </w:r>
    </w:p>
    <w:p>
      <w:pPr>
        <w:pStyle w:val="BodyText"/>
        <w:ind w:left="834"/>
        <w:rPr>
          <w:rFonts w:ascii="Tahoma"/>
          <w:sz w:val="20"/>
        </w:rPr>
      </w:pPr>
      <w:r>
        <w:rPr>
          <w:rFonts w:ascii="Tahoma"/>
          <w:sz w:val="20"/>
        </w:rPr>
        <w:pict>
          <v:group style="width:491.1pt;height:412.6pt;mso-position-horizontal-relative:char;mso-position-vertical-relative:line" coordorigin="0,0" coordsize="9822,8252">
            <v:shape style="position:absolute;left:15;top:14;width:9792;height:8224" type="#_x0000_t75" stroked="false">
              <v:imagedata r:id="rId44" o:title=""/>
            </v:shape>
            <v:rect style="position:absolute;left:7;top:7;width:9807;height:8237" filled="false" stroked="true" strokeweight=".75pt" strokecolor="#5c5c5c">
              <v:stroke dashstyle="solid"/>
            </v:rect>
          </v:group>
        </w:pict>
      </w:r>
      <w:r>
        <w:rPr>
          <w:rFonts w:ascii="Tahoma"/>
          <w:sz w:val="20"/>
        </w:rPr>
      </w:r>
    </w:p>
    <w:p>
      <w:pPr>
        <w:spacing w:after="0"/>
        <w:rPr>
          <w:rFonts w:ascii="Tahoma"/>
          <w:sz w:val="20"/>
        </w:rPr>
        <w:sectPr>
          <w:pgSz w:w="12240" w:h="15840"/>
          <w:pgMar w:header="0" w:footer="1277" w:top="1360" w:bottom="1540" w:left="620" w:right="740"/>
        </w:sectPr>
      </w:pPr>
    </w:p>
    <w:p>
      <w:pPr>
        <w:pStyle w:val="Heading1"/>
      </w:pPr>
      <w:bookmarkStart w:name="_bookmark13" w:id="14"/>
      <w:bookmarkEnd w:id="14"/>
      <w:r>
        <w:rPr/>
      </w:r>
      <w:r>
        <w:rPr>
          <w:color w:val="1C629F"/>
        </w:rPr>
        <w:t>Appendix B: Proposed Legislation</w:t>
      </w:r>
    </w:p>
    <w:p>
      <w:pPr>
        <w:pStyle w:val="Heading3"/>
      </w:pPr>
      <w:r>
        <w:rPr/>
        <w:t>Washington Indian Health Improvement Act</w:t>
      </w:r>
    </w:p>
    <w:p>
      <w:pPr>
        <w:pStyle w:val="BodyText"/>
        <w:spacing w:before="3"/>
        <w:rPr>
          <w:rFonts w:ascii="Courier New"/>
          <w:sz w:val="37"/>
        </w:rPr>
      </w:pPr>
    </w:p>
    <w:p>
      <w:pPr>
        <w:pStyle w:val="Heading5"/>
        <w:spacing w:line="316" w:lineRule="auto" w:before="0"/>
        <w:ind w:right="697" w:firstLine="719"/>
      </w:pPr>
      <w:r>
        <w:rPr/>
        <w:t>AN ACT Relating to establishing the governor’s Indian health advisory council and the Indian health improvement reinvestment account; reenacting and amending RCW 43.84.092; and adding a new chapter to Title 43 RCW.</w:t>
      </w:r>
    </w:p>
    <w:p>
      <w:pPr>
        <w:pStyle w:val="BodyText"/>
        <w:spacing w:before="1"/>
        <w:rPr>
          <w:rFonts w:ascii="Courier New"/>
          <w:sz w:val="27"/>
        </w:rPr>
      </w:pPr>
    </w:p>
    <w:p>
      <w:pPr>
        <w:pStyle w:val="Heading5"/>
        <w:spacing w:before="0"/>
        <w:ind w:right="0" w:firstLine="0"/>
        <w:jc w:val="left"/>
      </w:pPr>
      <w:r>
        <w:rPr/>
        <w:t>BE IT ENACTED BY THE LEGISLATURE OF THE STATE OF WASHINGTON:</w:t>
      </w:r>
    </w:p>
    <w:p>
      <w:pPr>
        <w:pStyle w:val="BodyText"/>
        <w:spacing w:before="3"/>
        <w:rPr>
          <w:rFonts w:ascii="Courier New"/>
          <w:sz w:val="34"/>
        </w:rPr>
      </w:pPr>
    </w:p>
    <w:p>
      <w:pPr>
        <w:pStyle w:val="Heading5"/>
        <w:tabs>
          <w:tab w:pos="3578" w:val="left" w:leader="none"/>
          <w:tab w:pos="4874" w:val="left" w:leader="none"/>
        </w:tabs>
        <w:spacing w:before="0"/>
        <w:ind w:left="1562" w:right="0" w:firstLine="0"/>
        <w:jc w:val="left"/>
      </w:pPr>
      <w:r>
        <w:rPr>
          <w:u w:val="single"/>
        </w:rPr>
        <w:t>NEW</w:t>
      </w:r>
      <w:r>
        <w:rPr>
          <w:spacing w:val="-5"/>
          <w:u w:val="single"/>
        </w:rPr>
        <w:t> </w:t>
      </w:r>
      <w:r>
        <w:rPr>
          <w:u w:val="single"/>
        </w:rPr>
        <w:t>SECTION.</w:t>
      </w:r>
      <w:r>
        <w:rPr/>
        <w:tab/>
      </w:r>
      <w:r>
        <w:rPr>
          <w:b/>
        </w:rPr>
        <w:t>Sec.</w:t>
      </w:r>
      <w:r>
        <w:rPr>
          <w:b/>
          <w:spacing w:val="-3"/>
        </w:rPr>
        <w:t> </w:t>
      </w:r>
      <w:r>
        <w:rPr>
          <w:b/>
        </w:rPr>
        <w:t>1.</w:t>
        <w:tab/>
      </w:r>
      <w:r>
        <w:rPr/>
        <w:t>(1) The legislature finds</w:t>
      </w:r>
      <w:r>
        <w:rPr>
          <w:spacing w:val="-10"/>
        </w:rPr>
        <w:t> </w:t>
      </w:r>
      <w:r>
        <w:rPr/>
        <w:t>that:</w:t>
      </w:r>
    </w:p>
    <w:p>
      <w:pPr>
        <w:pStyle w:val="Heading5"/>
        <w:numPr>
          <w:ilvl w:val="0"/>
          <w:numId w:val="11"/>
        </w:numPr>
        <w:tabs>
          <w:tab w:pos="2136" w:val="left" w:leader="none"/>
        </w:tabs>
        <w:spacing w:line="316" w:lineRule="auto" w:before="100" w:after="0"/>
        <w:ind w:left="820" w:right="697" w:firstLine="742"/>
        <w:jc w:val="both"/>
      </w:pPr>
      <w:r>
        <w:rPr/>
        <w:t>As set forth in 25 U.S.C. Sec. 1602, it is the policy</w:t>
      </w:r>
      <w:r>
        <w:rPr>
          <w:spacing w:val="-62"/>
        </w:rPr>
        <w:t> </w:t>
      </w:r>
      <w:r>
        <w:rPr/>
        <w:t>of the nation, in fulfillment of its special trust responsibilities and legal obligations to American Indians and Alaska Natives,</w:t>
      </w:r>
      <w:r>
        <w:rPr>
          <w:spacing w:val="-51"/>
        </w:rPr>
        <w:t> </w:t>
      </w:r>
      <w:r>
        <w:rPr/>
        <w:t>to:</w:t>
      </w:r>
    </w:p>
    <w:p>
      <w:pPr>
        <w:pStyle w:val="Heading5"/>
        <w:numPr>
          <w:ilvl w:val="0"/>
          <w:numId w:val="12"/>
        </w:numPr>
        <w:tabs>
          <w:tab w:pos="2172" w:val="left" w:leader="none"/>
        </w:tabs>
        <w:spacing w:line="316" w:lineRule="auto" w:before="4" w:after="0"/>
        <w:ind w:left="820" w:right="693" w:firstLine="742"/>
        <w:jc w:val="both"/>
      </w:pPr>
      <w:r>
        <w:rPr/>
        <w:t>Ensure the highest possible health status for American Indians and Alaska Natives and to provide all resources necessary to effect that</w:t>
      </w:r>
      <w:r>
        <w:rPr>
          <w:spacing w:val="-4"/>
        </w:rPr>
        <w:t> </w:t>
      </w:r>
      <w:r>
        <w:rPr/>
        <w:t>policy;</w:t>
      </w:r>
    </w:p>
    <w:p>
      <w:pPr>
        <w:pStyle w:val="Heading5"/>
        <w:numPr>
          <w:ilvl w:val="0"/>
          <w:numId w:val="12"/>
        </w:numPr>
        <w:tabs>
          <w:tab w:pos="2297" w:val="left" w:leader="none"/>
        </w:tabs>
        <w:spacing w:line="316" w:lineRule="auto" w:before="6" w:after="0"/>
        <w:ind w:left="820" w:right="693" w:firstLine="742"/>
        <w:jc w:val="both"/>
      </w:pPr>
      <w:r>
        <w:rPr/>
        <w:t>Raise the health status of American Indians and Alaska Natives to at least the levels set forth in the goals contained within</w:t>
      </w:r>
      <w:r>
        <w:rPr>
          <w:spacing w:val="-25"/>
        </w:rPr>
        <w:t> </w:t>
      </w:r>
      <w:r>
        <w:rPr/>
        <w:t>the</w:t>
      </w:r>
      <w:r>
        <w:rPr>
          <w:spacing w:val="-24"/>
        </w:rPr>
        <w:t> </w:t>
      </w:r>
      <w:r>
        <w:rPr/>
        <w:t>Healthy</w:t>
      </w:r>
      <w:r>
        <w:rPr>
          <w:spacing w:val="-25"/>
        </w:rPr>
        <w:t> </w:t>
      </w:r>
      <w:r>
        <w:rPr/>
        <w:t>People</w:t>
      </w:r>
      <w:r>
        <w:rPr>
          <w:spacing w:val="-23"/>
        </w:rPr>
        <w:t> </w:t>
      </w:r>
      <w:r>
        <w:rPr/>
        <w:t>2020</w:t>
      </w:r>
      <w:r>
        <w:rPr>
          <w:spacing w:val="-25"/>
        </w:rPr>
        <w:t> </w:t>
      </w:r>
      <w:r>
        <w:rPr/>
        <w:t>initiative</w:t>
      </w:r>
      <w:r>
        <w:rPr>
          <w:spacing w:val="-24"/>
        </w:rPr>
        <w:t> </w:t>
      </w:r>
      <w:r>
        <w:rPr/>
        <w:t>or</w:t>
      </w:r>
      <w:r>
        <w:rPr>
          <w:spacing w:val="-25"/>
        </w:rPr>
        <w:t> </w:t>
      </w:r>
      <w:r>
        <w:rPr/>
        <w:t>successor</w:t>
      </w:r>
      <w:r>
        <w:rPr>
          <w:spacing w:val="-24"/>
        </w:rPr>
        <w:t> </w:t>
      </w:r>
      <w:r>
        <w:rPr/>
        <w:t>objectives; and</w:t>
      </w:r>
    </w:p>
    <w:p>
      <w:pPr>
        <w:pStyle w:val="Heading5"/>
        <w:numPr>
          <w:ilvl w:val="0"/>
          <w:numId w:val="12"/>
        </w:numPr>
        <w:tabs>
          <w:tab w:pos="2710" w:val="left" w:leader="none"/>
        </w:tabs>
        <w:spacing w:line="316" w:lineRule="auto" w:before="5" w:after="0"/>
        <w:ind w:left="820" w:right="696" w:firstLine="742"/>
        <w:jc w:val="both"/>
      </w:pPr>
      <w:r>
        <w:rPr/>
        <w:t>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w:t>
      </w:r>
      <w:r>
        <w:rPr>
          <w:spacing w:val="-4"/>
        </w:rPr>
        <w:t> </w:t>
      </w:r>
      <w:r>
        <w:rPr/>
        <w:t>communities;</w:t>
      </w:r>
    </w:p>
    <w:p>
      <w:pPr>
        <w:pStyle w:val="Heading5"/>
        <w:numPr>
          <w:ilvl w:val="0"/>
          <w:numId w:val="11"/>
        </w:numPr>
        <w:tabs>
          <w:tab w:pos="2098" w:val="left" w:leader="none"/>
        </w:tabs>
        <w:spacing w:line="316" w:lineRule="auto" w:before="6" w:after="0"/>
        <w:ind w:left="820" w:right="698" w:firstLine="720"/>
        <w:jc w:val="both"/>
      </w:pPr>
      <w:r>
        <w:rPr/>
        <w:t>According</w:t>
      </w:r>
      <w:r>
        <w:rPr>
          <w:spacing w:val="-26"/>
        </w:rPr>
        <w:t> </w:t>
      </w:r>
      <w:r>
        <w:rPr/>
        <w:t>to</w:t>
      </w:r>
      <w:r>
        <w:rPr>
          <w:spacing w:val="-20"/>
        </w:rPr>
        <w:t> </w:t>
      </w:r>
      <w:r>
        <w:rPr/>
        <w:t>the</w:t>
      </w:r>
      <w:r>
        <w:rPr>
          <w:spacing w:val="-26"/>
        </w:rPr>
        <w:t> </w:t>
      </w:r>
      <w:r>
        <w:rPr/>
        <w:t>northwest</w:t>
      </w:r>
      <w:r>
        <w:rPr>
          <w:spacing w:val="-25"/>
        </w:rPr>
        <w:t> </w:t>
      </w:r>
      <w:r>
        <w:rPr/>
        <w:t>tribal</w:t>
      </w:r>
      <w:r>
        <w:rPr>
          <w:spacing w:val="-26"/>
        </w:rPr>
        <w:t> </w:t>
      </w:r>
      <w:r>
        <w:rPr/>
        <w:t>epidemiology</w:t>
      </w:r>
      <w:r>
        <w:rPr>
          <w:spacing w:val="-22"/>
        </w:rPr>
        <w:t> </w:t>
      </w:r>
      <w:r>
        <w:rPr/>
        <w:t>center</w:t>
      </w:r>
      <w:r>
        <w:rPr>
          <w:spacing w:val="-25"/>
        </w:rPr>
        <w:t> </w:t>
      </w:r>
      <w:r>
        <w:rPr/>
        <w:t>and the department of health, American Indians and Alaska Natives in the state experience some of the greatest health disparities compared to other groups, including excessively high rates</w:t>
      </w:r>
      <w:r>
        <w:rPr>
          <w:spacing w:val="-40"/>
        </w:rPr>
        <w:t> </w:t>
      </w:r>
      <w:r>
        <w:rPr/>
        <w:t>of:</w:t>
      </w:r>
    </w:p>
    <w:p>
      <w:pPr>
        <w:pStyle w:val="Heading5"/>
        <w:numPr>
          <w:ilvl w:val="0"/>
          <w:numId w:val="13"/>
        </w:numPr>
        <w:tabs>
          <w:tab w:pos="2381" w:val="left" w:leader="none"/>
        </w:tabs>
        <w:spacing w:line="314" w:lineRule="auto" w:before="5" w:after="0"/>
        <w:ind w:left="820" w:right="698" w:firstLine="720"/>
        <w:jc w:val="both"/>
      </w:pPr>
      <w:r>
        <w:rPr/>
        <w:t>Premature mortality due to suicide, overdose, unintentional injury, and various chronic diseases;</w:t>
      </w:r>
      <w:r>
        <w:rPr>
          <w:spacing w:val="-21"/>
        </w:rPr>
        <w:t> </w:t>
      </w:r>
      <w:r>
        <w:rPr/>
        <w:t>and</w:t>
      </w:r>
    </w:p>
    <w:p>
      <w:pPr>
        <w:pStyle w:val="Heading5"/>
        <w:numPr>
          <w:ilvl w:val="0"/>
          <w:numId w:val="13"/>
        </w:numPr>
        <w:tabs>
          <w:tab w:pos="2261" w:val="left" w:leader="none"/>
        </w:tabs>
        <w:spacing w:line="316" w:lineRule="auto" w:before="10" w:after="0"/>
        <w:ind w:left="820" w:right="696" w:firstLine="720"/>
        <w:jc w:val="both"/>
      </w:pPr>
      <w:r>
        <w:rPr/>
        <w:t>Asthma, coronary heart disease, hypertension, diabetes, pre-diabetes,</w:t>
      </w:r>
      <w:r>
        <w:rPr>
          <w:spacing w:val="34"/>
        </w:rPr>
        <w:t> </w:t>
      </w:r>
      <w:r>
        <w:rPr/>
        <w:t>obesity,</w:t>
      </w:r>
      <w:r>
        <w:rPr>
          <w:spacing w:val="34"/>
        </w:rPr>
        <w:t> </w:t>
      </w:r>
      <w:r>
        <w:rPr/>
        <w:t>dental</w:t>
      </w:r>
      <w:r>
        <w:rPr>
          <w:spacing w:val="34"/>
        </w:rPr>
        <w:t> </w:t>
      </w:r>
      <w:r>
        <w:rPr/>
        <w:t>caries,</w:t>
      </w:r>
      <w:r>
        <w:rPr>
          <w:spacing w:val="34"/>
        </w:rPr>
        <w:t> </w:t>
      </w:r>
      <w:r>
        <w:rPr/>
        <w:t>poor</w:t>
      </w:r>
      <w:r>
        <w:rPr>
          <w:spacing w:val="35"/>
        </w:rPr>
        <w:t> </w:t>
      </w:r>
      <w:r>
        <w:rPr/>
        <w:t>mental</w:t>
      </w:r>
      <w:r>
        <w:rPr>
          <w:spacing w:val="34"/>
        </w:rPr>
        <w:t> </w:t>
      </w:r>
      <w:r>
        <w:rPr/>
        <w:t>health,</w:t>
      </w:r>
      <w:r>
        <w:rPr>
          <w:spacing w:val="34"/>
        </w:rPr>
        <w:t> </w:t>
      </w:r>
      <w:r>
        <w:rPr/>
        <w:t>youth</w:t>
      </w:r>
    </w:p>
    <w:p>
      <w:pPr>
        <w:spacing w:after="0" w:line="316" w:lineRule="auto"/>
        <w:jc w:val="both"/>
        <w:sectPr>
          <w:pgSz w:w="12240" w:h="15840"/>
          <w:pgMar w:header="0" w:footer="1277" w:top="1360" w:bottom="1480" w:left="620" w:right="740"/>
        </w:sectPr>
      </w:pPr>
    </w:p>
    <w:p>
      <w:pPr>
        <w:pStyle w:val="Heading5"/>
        <w:spacing w:line="316" w:lineRule="auto" w:before="89"/>
        <w:ind w:right="885" w:firstLine="0"/>
        <w:jc w:val="left"/>
      </w:pPr>
      <w:r>
        <w:rPr/>
        <w:t>depressive feelings, cigarette smoking and vaping, and cannabis use;</w:t>
      </w:r>
    </w:p>
    <w:p>
      <w:pPr>
        <w:pStyle w:val="Heading5"/>
        <w:numPr>
          <w:ilvl w:val="0"/>
          <w:numId w:val="11"/>
        </w:numPr>
        <w:tabs>
          <w:tab w:pos="2181" w:val="left" w:leader="none"/>
        </w:tabs>
        <w:spacing w:line="316" w:lineRule="auto" w:before="5" w:after="0"/>
        <w:ind w:left="820" w:right="696" w:firstLine="720"/>
        <w:jc w:val="both"/>
      </w:pPr>
      <w:r>
        <w:rPr/>
        <w:t>These health disparities are a direct result of both historical</w:t>
      </w:r>
      <w:r>
        <w:rPr>
          <w:spacing w:val="-28"/>
        </w:rPr>
        <w:t> </w:t>
      </w:r>
      <w:r>
        <w:rPr/>
        <w:t>trauma,</w:t>
      </w:r>
      <w:r>
        <w:rPr>
          <w:spacing w:val="-28"/>
        </w:rPr>
        <w:t> </w:t>
      </w:r>
      <w:r>
        <w:rPr/>
        <w:t>leading</w:t>
      </w:r>
      <w:r>
        <w:rPr>
          <w:spacing w:val="-28"/>
        </w:rPr>
        <w:t> </w:t>
      </w:r>
      <w:r>
        <w:rPr/>
        <w:t>to</w:t>
      </w:r>
      <w:r>
        <w:rPr>
          <w:spacing w:val="-28"/>
        </w:rPr>
        <w:t> </w:t>
      </w:r>
      <w:r>
        <w:rPr/>
        <w:t>adverse</w:t>
      </w:r>
      <w:r>
        <w:rPr>
          <w:spacing w:val="-27"/>
        </w:rPr>
        <w:t> </w:t>
      </w:r>
      <w:r>
        <w:rPr/>
        <w:t>childhood</w:t>
      </w:r>
      <w:r>
        <w:rPr>
          <w:spacing w:val="-28"/>
        </w:rPr>
        <w:t> </w:t>
      </w:r>
      <w:r>
        <w:rPr/>
        <w:t>experiences</w:t>
      </w:r>
      <w:r>
        <w:rPr>
          <w:spacing w:val="-28"/>
        </w:rPr>
        <w:t> </w:t>
      </w:r>
      <w:r>
        <w:rPr/>
        <w:t>across multiple generations, and inadequate levels of federal funding to the Indian health</w:t>
      </w:r>
      <w:r>
        <w:rPr>
          <w:spacing w:val="-3"/>
        </w:rPr>
        <w:t> </w:t>
      </w:r>
      <w:r>
        <w:rPr/>
        <w:t>service;</w:t>
      </w:r>
    </w:p>
    <w:p>
      <w:pPr>
        <w:pStyle w:val="Heading5"/>
        <w:numPr>
          <w:ilvl w:val="0"/>
          <w:numId w:val="11"/>
        </w:numPr>
        <w:tabs>
          <w:tab w:pos="2145" w:val="left" w:leader="none"/>
        </w:tabs>
        <w:spacing w:line="316" w:lineRule="auto" w:before="4" w:after="0"/>
        <w:ind w:left="820" w:right="697" w:firstLine="720"/>
        <w:jc w:val="both"/>
      </w:pPr>
      <w:r>
        <w:rPr/>
        <w:t>Under a 2016 update in payment policy from the centers for medicare and medicaid services, the state has the</w:t>
      </w:r>
      <w:r>
        <w:rPr>
          <w:spacing w:val="-53"/>
        </w:rPr>
        <w:t> </w:t>
      </w:r>
      <w:r>
        <w:rPr/>
        <w:t>opportunity to shift more of the cost of care for American Indian and Alaska Native medicaid enrollees from the state general fund to the federal government if all of the federal requirements are</w:t>
      </w:r>
      <w:r>
        <w:rPr>
          <w:spacing w:val="-38"/>
        </w:rPr>
        <w:t> </w:t>
      </w:r>
      <w:r>
        <w:rPr/>
        <w:t>met;</w:t>
      </w:r>
    </w:p>
    <w:p>
      <w:pPr>
        <w:pStyle w:val="Heading5"/>
        <w:numPr>
          <w:ilvl w:val="0"/>
          <w:numId w:val="11"/>
        </w:numPr>
        <w:tabs>
          <w:tab w:pos="2170" w:val="left" w:leader="none"/>
        </w:tabs>
        <w:spacing w:line="316" w:lineRule="auto" w:before="6" w:after="0"/>
        <w:ind w:left="820" w:right="697" w:firstLine="720"/>
        <w:jc w:val="both"/>
      </w:pPr>
      <w:r>
        <w:rPr/>
        <w:t>Because the federal requirements to achieve this cost shift and obtain the new federal funds place significant administrative burdens on Indian health service and tribal</w:t>
      </w:r>
      <w:r>
        <w:rPr>
          <w:spacing w:val="-55"/>
        </w:rPr>
        <w:t> </w:t>
      </w:r>
      <w:r>
        <w:rPr/>
        <w:t>health facilities, the state has no way to shift these costs of care to the federal government unless the state provides incentives for tribes to take on these administrative burdens;</w:t>
      </w:r>
      <w:r>
        <w:rPr>
          <w:spacing w:val="-19"/>
        </w:rPr>
        <w:t> </w:t>
      </w:r>
      <w:r>
        <w:rPr/>
        <w:t>and</w:t>
      </w:r>
    </w:p>
    <w:p>
      <w:pPr>
        <w:pStyle w:val="Heading5"/>
        <w:numPr>
          <w:ilvl w:val="0"/>
          <w:numId w:val="11"/>
        </w:numPr>
        <w:tabs>
          <w:tab w:pos="2086" w:val="left" w:leader="none"/>
        </w:tabs>
        <w:spacing w:line="316" w:lineRule="auto" w:before="5" w:after="0"/>
        <w:ind w:left="820" w:right="696" w:firstLine="720"/>
        <w:jc w:val="both"/>
      </w:pPr>
      <w:r>
        <w:rPr/>
        <w:t>The</w:t>
      </w:r>
      <w:r>
        <w:rPr>
          <w:spacing w:val="-38"/>
        </w:rPr>
        <w:t> </w:t>
      </w:r>
      <w:r>
        <w:rPr/>
        <w:t>federal</w:t>
      </w:r>
      <w:r>
        <w:rPr>
          <w:spacing w:val="-37"/>
        </w:rPr>
        <w:t> </w:t>
      </w:r>
      <w:r>
        <w:rPr/>
        <w:t>government’s</w:t>
      </w:r>
      <w:r>
        <w:rPr>
          <w:spacing w:val="-37"/>
        </w:rPr>
        <w:t> </w:t>
      </w:r>
      <w:r>
        <w:rPr/>
        <w:t>intent</w:t>
      </w:r>
      <w:r>
        <w:rPr>
          <w:spacing w:val="-37"/>
        </w:rPr>
        <w:t> </w:t>
      </w:r>
      <w:r>
        <w:rPr/>
        <w:t>for</w:t>
      </w:r>
      <w:r>
        <w:rPr>
          <w:spacing w:val="-38"/>
        </w:rPr>
        <w:t> </w:t>
      </w:r>
      <w:r>
        <w:rPr/>
        <w:t>this</w:t>
      </w:r>
      <w:r>
        <w:rPr>
          <w:spacing w:val="-37"/>
        </w:rPr>
        <w:t> </w:t>
      </w:r>
      <w:r>
        <w:rPr/>
        <w:t>update</w:t>
      </w:r>
      <w:r>
        <w:rPr>
          <w:spacing w:val="-39"/>
        </w:rPr>
        <w:t> </w:t>
      </w:r>
      <w:r>
        <w:rPr/>
        <w:t>in</w:t>
      </w:r>
      <w:r>
        <w:rPr>
          <w:spacing w:val="-37"/>
        </w:rPr>
        <w:t> </w:t>
      </w:r>
      <w:r>
        <w:rPr/>
        <w:t>payment policy</w:t>
      </w:r>
      <w:r>
        <w:rPr>
          <w:spacing w:val="-19"/>
        </w:rPr>
        <w:t> </w:t>
      </w:r>
      <w:r>
        <w:rPr/>
        <w:t>is</w:t>
      </w:r>
      <w:r>
        <w:rPr>
          <w:spacing w:val="-18"/>
        </w:rPr>
        <w:t> </w:t>
      </w:r>
      <w:r>
        <w:rPr/>
        <w:t>to</w:t>
      </w:r>
      <w:r>
        <w:rPr>
          <w:spacing w:val="-16"/>
        </w:rPr>
        <w:t> </w:t>
      </w:r>
      <w:r>
        <w:rPr/>
        <w:t>help</w:t>
      </w:r>
      <w:r>
        <w:rPr>
          <w:spacing w:val="-17"/>
        </w:rPr>
        <w:t> </w:t>
      </w:r>
      <w:r>
        <w:rPr/>
        <w:t>states,</w:t>
      </w:r>
      <w:r>
        <w:rPr>
          <w:spacing w:val="-18"/>
        </w:rPr>
        <w:t> </w:t>
      </w:r>
      <w:r>
        <w:rPr/>
        <w:t>the</w:t>
      </w:r>
      <w:r>
        <w:rPr>
          <w:spacing w:val="-17"/>
        </w:rPr>
        <w:t> </w:t>
      </w:r>
      <w:r>
        <w:rPr/>
        <w:t>Indian</w:t>
      </w:r>
      <w:r>
        <w:rPr>
          <w:spacing w:val="-18"/>
        </w:rPr>
        <w:t> </w:t>
      </w:r>
      <w:r>
        <w:rPr/>
        <w:t>health</w:t>
      </w:r>
      <w:r>
        <w:rPr>
          <w:spacing w:val="-18"/>
        </w:rPr>
        <w:t> </w:t>
      </w:r>
      <w:r>
        <w:rPr/>
        <w:t>service,</w:t>
      </w:r>
      <w:r>
        <w:rPr>
          <w:spacing w:val="-18"/>
        </w:rPr>
        <w:t> </w:t>
      </w:r>
      <w:r>
        <w:rPr/>
        <w:t>and</w:t>
      </w:r>
      <w:r>
        <w:rPr>
          <w:spacing w:val="-19"/>
        </w:rPr>
        <w:t> </w:t>
      </w:r>
      <w:r>
        <w:rPr/>
        <w:t>tribes</w:t>
      </w:r>
      <w:r>
        <w:rPr>
          <w:spacing w:val="-16"/>
        </w:rPr>
        <w:t> </w:t>
      </w:r>
      <w:r>
        <w:rPr/>
        <w:t>to improve delivery systems for American Indians and Alaska Natives by increasing access to care, strengthening continuity of care, and improving population</w:t>
      </w:r>
      <w:r>
        <w:rPr>
          <w:spacing w:val="-5"/>
        </w:rPr>
        <w:t> </w:t>
      </w:r>
      <w:r>
        <w:rPr/>
        <w:t>health.</w:t>
      </w:r>
    </w:p>
    <w:p>
      <w:pPr>
        <w:pStyle w:val="Heading5"/>
        <w:spacing w:before="3"/>
        <w:ind w:left="1540" w:right="0" w:firstLine="0"/>
        <w:jc w:val="left"/>
      </w:pPr>
      <w:r>
        <w:rPr/>
        <w:t>(2) The legislature, therefore, intends to:</w:t>
      </w:r>
    </w:p>
    <w:p>
      <w:pPr>
        <w:pStyle w:val="Heading5"/>
        <w:numPr>
          <w:ilvl w:val="0"/>
          <w:numId w:val="14"/>
        </w:numPr>
        <w:tabs>
          <w:tab w:pos="2174" w:val="left" w:leader="none"/>
        </w:tabs>
        <w:spacing w:line="316" w:lineRule="auto" w:before="93" w:after="0"/>
        <w:ind w:left="820" w:right="695" w:firstLine="742"/>
        <w:jc w:val="both"/>
      </w:pPr>
      <w:r>
        <w:rPr/>
        <w:t>Establish that it is the policy of this state and the intent of this chapter, in fulfillment of the state's unique relationships and shared respect between sovereign governments, to:</w:t>
      </w:r>
    </w:p>
    <w:p>
      <w:pPr>
        <w:pStyle w:val="Heading5"/>
        <w:numPr>
          <w:ilvl w:val="0"/>
          <w:numId w:val="15"/>
        </w:numPr>
        <w:tabs>
          <w:tab w:pos="2095" w:val="left" w:leader="none"/>
        </w:tabs>
        <w:spacing w:line="316" w:lineRule="auto" w:before="7" w:after="0"/>
        <w:ind w:left="820" w:right="696" w:firstLine="720"/>
        <w:jc w:val="both"/>
      </w:pPr>
      <w:r>
        <w:rPr/>
        <w:t>Recognize</w:t>
      </w:r>
      <w:r>
        <w:rPr>
          <w:spacing w:val="-29"/>
        </w:rPr>
        <w:t> </w:t>
      </w:r>
      <w:r>
        <w:rPr/>
        <w:t>the</w:t>
      </w:r>
      <w:r>
        <w:rPr>
          <w:spacing w:val="-26"/>
        </w:rPr>
        <w:t> </w:t>
      </w:r>
      <w:r>
        <w:rPr/>
        <w:t>United</w:t>
      </w:r>
      <w:r>
        <w:rPr>
          <w:spacing w:val="-28"/>
        </w:rPr>
        <w:t> </w:t>
      </w:r>
      <w:r>
        <w:rPr/>
        <w:t>States'</w:t>
      </w:r>
      <w:r>
        <w:rPr>
          <w:spacing w:val="-26"/>
        </w:rPr>
        <w:t> </w:t>
      </w:r>
      <w:r>
        <w:rPr/>
        <w:t>special</w:t>
      </w:r>
      <w:r>
        <w:rPr>
          <w:spacing w:val="-28"/>
        </w:rPr>
        <w:t> </w:t>
      </w:r>
      <w:r>
        <w:rPr/>
        <w:t>trust</w:t>
      </w:r>
      <w:r>
        <w:rPr>
          <w:spacing w:val="-28"/>
        </w:rPr>
        <w:t> </w:t>
      </w:r>
      <w:r>
        <w:rPr/>
        <w:t>responsibility to provide quality health care and allied health services to American Indians and Alaska Natives, including those individuals who are residents of this state;</w:t>
      </w:r>
      <w:r>
        <w:rPr>
          <w:spacing w:val="-8"/>
        </w:rPr>
        <w:t> </w:t>
      </w:r>
      <w:r>
        <w:rPr/>
        <w:t>and</w:t>
      </w:r>
    </w:p>
    <w:p>
      <w:pPr>
        <w:pStyle w:val="Heading5"/>
        <w:numPr>
          <w:ilvl w:val="0"/>
          <w:numId w:val="15"/>
        </w:numPr>
        <w:tabs>
          <w:tab w:pos="2426" w:val="left" w:leader="none"/>
        </w:tabs>
        <w:spacing w:line="316" w:lineRule="auto" w:before="5" w:after="0"/>
        <w:ind w:left="820" w:right="693" w:firstLine="720"/>
        <w:jc w:val="both"/>
      </w:pPr>
      <w:r>
        <w:rPr/>
        <w:t>Implement the national policies of Indian self- determination</w:t>
      </w:r>
      <w:r>
        <w:rPr>
          <w:spacing w:val="-25"/>
        </w:rPr>
        <w:t> </w:t>
      </w:r>
      <w:r>
        <w:rPr/>
        <w:t>and</w:t>
      </w:r>
      <w:r>
        <w:rPr>
          <w:spacing w:val="-23"/>
        </w:rPr>
        <w:t> </w:t>
      </w:r>
      <w:r>
        <w:rPr/>
        <w:t>achieving</w:t>
      </w:r>
      <w:r>
        <w:rPr>
          <w:spacing w:val="-25"/>
        </w:rPr>
        <w:t> </w:t>
      </w:r>
      <w:r>
        <w:rPr/>
        <w:t>the</w:t>
      </w:r>
      <w:r>
        <w:rPr>
          <w:spacing w:val="-24"/>
        </w:rPr>
        <w:t> </w:t>
      </w:r>
      <w:r>
        <w:rPr/>
        <w:t>highest</w:t>
      </w:r>
      <w:r>
        <w:rPr>
          <w:spacing w:val="-25"/>
        </w:rPr>
        <w:t> </w:t>
      </w:r>
      <w:r>
        <w:rPr/>
        <w:t>possible</w:t>
      </w:r>
      <w:r>
        <w:rPr>
          <w:spacing w:val="-25"/>
        </w:rPr>
        <w:t> </w:t>
      </w:r>
      <w:r>
        <w:rPr/>
        <w:t>health</w:t>
      </w:r>
      <w:r>
        <w:rPr>
          <w:spacing w:val="-25"/>
        </w:rPr>
        <w:t> </w:t>
      </w:r>
      <w:r>
        <w:rPr/>
        <w:t>status</w:t>
      </w:r>
      <w:r>
        <w:rPr>
          <w:spacing w:val="-24"/>
        </w:rPr>
        <w:t> </w:t>
      </w:r>
      <w:r>
        <w:rPr/>
        <w:t>for American Indians and Alaska Natives in the state;</w:t>
      </w:r>
      <w:r>
        <w:rPr>
          <w:spacing w:val="-21"/>
        </w:rPr>
        <w:t> </w:t>
      </w:r>
      <w:r>
        <w:rPr/>
        <w:t>and</w:t>
      </w:r>
    </w:p>
    <w:p>
      <w:pPr>
        <w:spacing w:after="0" w:line="316" w:lineRule="auto"/>
        <w:jc w:val="both"/>
        <w:sectPr>
          <w:pgSz w:w="12240" w:h="15840"/>
          <w:pgMar w:header="0" w:footer="1277" w:top="1360" w:bottom="1540" w:left="620" w:right="740"/>
        </w:sectPr>
      </w:pPr>
    </w:p>
    <w:p>
      <w:pPr>
        <w:pStyle w:val="BodyText"/>
        <w:rPr>
          <w:rFonts w:ascii="Courier New"/>
          <w:sz w:val="26"/>
        </w:rPr>
      </w:pPr>
    </w:p>
    <w:p>
      <w:pPr>
        <w:pStyle w:val="Heading5"/>
        <w:spacing w:before="152"/>
        <w:ind w:right="0" w:firstLine="0"/>
        <w:jc w:val="left"/>
      </w:pPr>
      <w:r>
        <w:rPr/>
        <w:t>to:</w:t>
      </w:r>
    </w:p>
    <w:p>
      <w:pPr>
        <w:pStyle w:val="Heading5"/>
        <w:numPr>
          <w:ilvl w:val="0"/>
          <w:numId w:val="14"/>
        </w:numPr>
        <w:tabs>
          <w:tab w:pos="844" w:val="left" w:leader="none"/>
        </w:tabs>
        <w:spacing w:line="240" w:lineRule="auto" w:before="89" w:after="0"/>
        <w:ind w:left="843" w:right="0" w:hanging="596"/>
        <w:jc w:val="left"/>
      </w:pPr>
      <w:r>
        <w:rPr>
          <w:spacing w:val="-1"/>
        </w:rPr>
        <w:br w:type="column"/>
      </w:r>
      <w:r>
        <w:rPr/>
        <w:t>Establish the governor’s Indian health advisory</w:t>
      </w:r>
      <w:r>
        <w:rPr>
          <w:spacing w:val="88"/>
        </w:rPr>
        <w:t> </w:t>
      </w:r>
      <w:r>
        <w:rPr/>
        <w:t>council</w:t>
      </w:r>
    </w:p>
    <w:p>
      <w:pPr>
        <w:pStyle w:val="BodyText"/>
        <w:rPr>
          <w:rFonts w:ascii="Courier New"/>
          <w:sz w:val="26"/>
        </w:rPr>
      </w:pPr>
    </w:p>
    <w:p>
      <w:pPr>
        <w:pStyle w:val="Heading5"/>
        <w:numPr>
          <w:ilvl w:val="0"/>
          <w:numId w:val="16"/>
        </w:numPr>
        <w:tabs>
          <w:tab w:pos="805" w:val="left" w:leader="none"/>
        </w:tabs>
        <w:spacing w:line="240" w:lineRule="auto" w:before="156" w:after="0"/>
        <w:ind w:left="804" w:right="0" w:hanging="557"/>
        <w:jc w:val="left"/>
      </w:pPr>
      <w:r>
        <w:rPr/>
        <w:t>Adopt</w:t>
      </w:r>
      <w:r>
        <w:rPr>
          <w:spacing w:val="-23"/>
        </w:rPr>
        <w:t> </w:t>
      </w:r>
      <w:r>
        <w:rPr/>
        <w:t>a</w:t>
      </w:r>
      <w:r>
        <w:rPr>
          <w:spacing w:val="-23"/>
        </w:rPr>
        <w:t> </w:t>
      </w:r>
      <w:r>
        <w:rPr/>
        <w:t>biennial</w:t>
      </w:r>
      <w:r>
        <w:rPr>
          <w:spacing w:val="-22"/>
        </w:rPr>
        <w:t> </w:t>
      </w:r>
      <w:r>
        <w:rPr/>
        <w:t>Indian</w:t>
      </w:r>
      <w:r>
        <w:rPr>
          <w:spacing w:val="-23"/>
        </w:rPr>
        <w:t> </w:t>
      </w:r>
      <w:r>
        <w:rPr/>
        <w:t>health</w:t>
      </w:r>
      <w:r>
        <w:rPr>
          <w:spacing w:val="-21"/>
        </w:rPr>
        <w:t> </w:t>
      </w:r>
      <w:r>
        <w:rPr/>
        <w:t>improvement</w:t>
      </w:r>
      <w:r>
        <w:rPr>
          <w:spacing w:val="-22"/>
        </w:rPr>
        <w:t> </w:t>
      </w:r>
      <w:r>
        <w:rPr/>
        <w:t>advisory</w:t>
      </w:r>
      <w:r>
        <w:rPr>
          <w:spacing w:val="-23"/>
        </w:rPr>
        <w:t> </w:t>
      </w:r>
      <w:r>
        <w:rPr/>
        <w:t>plan,</w:t>
      </w:r>
    </w:p>
    <w:p>
      <w:pPr>
        <w:spacing w:after="0" w:line="240" w:lineRule="auto"/>
        <w:jc w:val="left"/>
        <w:sectPr>
          <w:pgSz w:w="12240" w:h="15840"/>
          <w:pgMar w:header="0" w:footer="1277" w:top="1360" w:bottom="1540" w:left="620" w:right="740"/>
          <w:cols w:num="2" w:equalWidth="0">
            <w:col w:w="1253" w:space="40"/>
            <w:col w:w="9587"/>
          </w:cols>
        </w:sectPr>
      </w:pPr>
    </w:p>
    <w:p>
      <w:pPr>
        <w:pStyle w:val="Heading5"/>
        <w:spacing w:before="86"/>
        <w:ind w:right="0" w:firstLine="0"/>
        <w:jc w:val="left"/>
      </w:pPr>
      <w:r>
        <w:rPr/>
        <w:t>developed by the reinvestment committee;</w:t>
      </w:r>
    </w:p>
    <w:p>
      <w:pPr>
        <w:pStyle w:val="Heading5"/>
        <w:numPr>
          <w:ilvl w:val="0"/>
          <w:numId w:val="16"/>
        </w:numPr>
        <w:tabs>
          <w:tab w:pos="2313" w:val="left" w:leader="none"/>
        </w:tabs>
        <w:spacing w:line="314" w:lineRule="auto" w:before="93" w:after="0"/>
        <w:ind w:left="820" w:right="703" w:firstLine="720"/>
        <w:jc w:val="both"/>
      </w:pPr>
      <w:r>
        <w:rPr/>
        <w:t>Address issues with tribal implications that are not able to be resolved at the agency level;</w:t>
      </w:r>
      <w:r>
        <w:rPr>
          <w:spacing w:val="-16"/>
        </w:rPr>
        <w:t> </w:t>
      </w:r>
      <w:r>
        <w:rPr/>
        <w:t>and</w:t>
      </w:r>
    </w:p>
    <w:p>
      <w:pPr>
        <w:pStyle w:val="Heading5"/>
        <w:numPr>
          <w:ilvl w:val="0"/>
          <w:numId w:val="16"/>
        </w:numPr>
        <w:tabs>
          <w:tab w:pos="2486" w:val="left" w:leader="none"/>
        </w:tabs>
        <w:spacing w:line="314" w:lineRule="auto" w:before="10" w:after="0"/>
        <w:ind w:left="820" w:right="695" w:firstLine="720"/>
        <w:jc w:val="both"/>
      </w:pPr>
      <w:r>
        <w:rPr/>
        <w:t>Provide oversight of the Indian health improvement reinvestment</w:t>
      </w:r>
      <w:r>
        <w:rPr>
          <w:spacing w:val="-2"/>
        </w:rPr>
        <w:t> </w:t>
      </w:r>
      <w:r>
        <w:rPr/>
        <w:t>account;</w:t>
      </w:r>
    </w:p>
    <w:p>
      <w:pPr>
        <w:pStyle w:val="Heading5"/>
        <w:numPr>
          <w:ilvl w:val="0"/>
          <w:numId w:val="14"/>
        </w:numPr>
        <w:tabs>
          <w:tab w:pos="2098" w:val="left" w:leader="none"/>
        </w:tabs>
        <w:spacing w:line="240" w:lineRule="auto" w:before="8" w:after="0"/>
        <w:ind w:left="2097" w:right="0" w:hanging="557"/>
        <w:jc w:val="left"/>
      </w:pPr>
      <w:r>
        <w:rPr/>
        <w:t>Adopt</w:t>
      </w:r>
      <w:r>
        <w:rPr>
          <w:spacing w:val="-23"/>
        </w:rPr>
        <w:t> </w:t>
      </w:r>
      <w:r>
        <w:rPr/>
        <w:t>a</w:t>
      </w:r>
      <w:r>
        <w:rPr>
          <w:spacing w:val="-23"/>
        </w:rPr>
        <w:t> </w:t>
      </w:r>
      <w:r>
        <w:rPr/>
        <w:t>biennial</w:t>
      </w:r>
      <w:r>
        <w:rPr>
          <w:spacing w:val="-22"/>
        </w:rPr>
        <w:t> </w:t>
      </w:r>
      <w:r>
        <w:rPr/>
        <w:t>Indian</w:t>
      </w:r>
      <w:r>
        <w:rPr>
          <w:spacing w:val="-23"/>
        </w:rPr>
        <w:t> </w:t>
      </w:r>
      <w:r>
        <w:rPr/>
        <w:t>health</w:t>
      </w:r>
      <w:r>
        <w:rPr>
          <w:spacing w:val="-21"/>
        </w:rPr>
        <w:t> </w:t>
      </w:r>
      <w:r>
        <w:rPr/>
        <w:t>improvement</w:t>
      </w:r>
      <w:r>
        <w:rPr>
          <w:spacing w:val="-22"/>
        </w:rPr>
        <w:t> </w:t>
      </w:r>
      <w:r>
        <w:rPr/>
        <w:t>advisory</w:t>
      </w:r>
      <w:r>
        <w:rPr>
          <w:spacing w:val="-23"/>
        </w:rPr>
        <w:t> </w:t>
      </w:r>
      <w:r>
        <w:rPr/>
        <w:t>plan;</w:t>
      </w:r>
    </w:p>
    <w:p>
      <w:pPr>
        <w:pStyle w:val="Heading5"/>
        <w:numPr>
          <w:ilvl w:val="0"/>
          <w:numId w:val="14"/>
        </w:numPr>
        <w:tabs>
          <w:tab w:pos="2213" w:val="left" w:leader="none"/>
        </w:tabs>
        <w:spacing w:line="316" w:lineRule="auto" w:before="92" w:after="0"/>
        <w:ind w:left="820" w:right="696" w:firstLine="720"/>
        <w:jc w:val="both"/>
      </w:pPr>
      <w:r>
        <w:rPr/>
        <w:t>Establish the Indian health improvement reinvestment account in order to provide incentives for tribes to assume the administrative</w:t>
      </w:r>
      <w:r>
        <w:rPr>
          <w:spacing w:val="-26"/>
        </w:rPr>
        <w:t> </w:t>
      </w:r>
      <w:r>
        <w:rPr/>
        <w:t>burdens</w:t>
      </w:r>
      <w:r>
        <w:rPr>
          <w:spacing w:val="-25"/>
        </w:rPr>
        <w:t> </w:t>
      </w:r>
      <w:r>
        <w:rPr/>
        <w:t>created</w:t>
      </w:r>
      <w:r>
        <w:rPr>
          <w:spacing w:val="-25"/>
        </w:rPr>
        <w:t> </w:t>
      </w:r>
      <w:r>
        <w:rPr/>
        <w:t>by</w:t>
      </w:r>
      <w:r>
        <w:rPr>
          <w:spacing w:val="-20"/>
        </w:rPr>
        <w:t> </w:t>
      </w:r>
      <w:r>
        <w:rPr/>
        <w:t>the</w:t>
      </w:r>
      <w:r>
        <w:rPr>
          <w:spacing w:val="-26"/>
        </w:rPr>
        <w:t> </w:t>
      </w:r>
      <w:r>
        <w:rPr/>
        <w:t>federal</w:t>
      </w:r>
      <w:r>
        <w:rPr>
          <w:spacing w:val="-23"/>
        </w:rPr>
        <w:t> </w:t>
      </w:r>
      <w:r>
        <w:rPr/>
        <w:t>requirements</w:t>
      </w:r>
      <w:r>
        <w:rPr>
          <w:spacing w:val="-24"/>
        </w:rPr>
        <w:t> </w:t>
      </w:r>
      <w:r>
        <w:rPr/>
        <w:t>for</w:t>
      </w:r>
      <w:r>
        <w:rPr>
          <w:spacing w:val="-25"/>
        </w:rPr>
        <w:t> </w:t>
      </w:r>
      <w:r>
        <w:rPr/>
        <w:t>the state to shift health care costs to the federal</w:t>
      </w:r>
      <w:r>
        <w:rPr>
          <w:spacing w:val="-31"/>
        </w:rPr>
        <w:t> </w:t>
      </w:r>
      <w:r>
        <w:rPr/>
        <w:t>government;</w:t>
      </w:r>
    </w:p>
    <w:p>
      <w:pPr>
        <w:pStyle w:val="Heading5"/>
        <w:numPr>
          <w:ilvl w:val="0"/>
          <w:numId w:val="14"/>
        </w:numPr>
        <w:tabs>
          <w:tab w:pos="2131" w:val="left" w:leader="none"/>
        </w:tabs>
        <w:spacing w:line="316" w:lineRule="auto" w:before="6" w:after="0"/>
        <w:ind w:left="820" w:right="696" w:firstLine="720"/>
        <w:jc w:val="both"/>
      </w:pPr>
      <w:r>
        <w:rPr/>
        <w:t>Appropriate and deposit into the account all of the new state savings, subject to federal appropriations and less agreed upon administrative costs to maintain fiscal neutrality to the state general fund;</w:t>
      </w:r>
      <w:r>
        <w:rPr>
          <w:spacing w:val="-5"/>
        </w:rPr>
        <w:t> </w:t>
      </w:r>
      <w:r>
        <w:rPr/>
        <w:t>and</w:t>
      </w:r>
    </w:p>
    <w:p>
      <w:pPr>
        <w:pStyle w:val="Heading5"/>
        <w:numPr>
          <w:ilvl w:val="0"/>
          <w:numId w:val="14"/>
        </w:numPr>
        <w:tabs>
          <w:tab w:pos="2225" w:val="left" w:leader="none"/>
        </w:tabs>
        <w:spacing w:line="316" w:lineRule="auto" w:before="4" w:after="0"/>
        <w:ind w:left="820" w:right="695" w:firstLine="720"/>
        <w:jc w:val="both"/>
      </w:pPr>
      <w:r>
        <w:rPr/>
        <w:t>Require the funds in the Indian health improvement reinvestment account to be spent only on costs for projects, programs, or activities identified in the Indian health improvement advisory</w:t>
      </w:r>
      <w:r>
        <w:rPr>
          <w:spacing w:val="-2"/>
        </w:rPr>
        <w:t> </w:t>
      </w:r>
      <w:r>
        <w:rPr/>
        <w:t>plan.</w:t>
      </w:r>
    </w:p>
    <w:p>
      <w:pPr>
        <w:pStyle w:val="BodyText"/>
        <w:rPr>
          <w:rFonts w:ascii="Courier New"/>
          <w:sz w:val="32"/>
        </w:rPr>
      </w:pPr>
    </w:p>
    <w:p>
      <w:pPr>
        <w:pStyle w:val="Heading5"/>
        <w:spacing w:line="319" w:lineRule="auto" w:before="0"/>
        <w:ind w:right="697" w:firstLine="719"/>
      </w:pPr>
      <w:r>
        <w:rPr>
          <w:u w:val="single"/>
        </w:rPr>
        <w:t>NEW SECTION.</w:t>
      </w:r>
      <w:r>
        <w:rPr/>
        <w:t> </w:t>
      </w:r>
      <w:r>
        <w:rPr>
          <w:b/>
        </w:rPr>
        <w:t>Sec. 2. </w:t>
      </w:r>
      <w:r>
        <w:rPr/>
        <w:t>The definitions in this section apply throughout this chapter unless the context clearly requires otherwise.</w:t>
      </w:r>
    </w:p>
    <w:p>
      <w:pPr>
        <w:pStyle w:val="Heading5"/>
        <w:numPr>
          <w:ilvl w:val="1"/>
          <w:numId w:val="14"/>
        </w:numPr>
        <w:tabs>
          <w:tab w:pos="2179" w:val="left" w:leader="none"/>
        </w:tabs>
        <w:spacing w:line="316" w:lineRule="auto" w:before="2" w:after="0"/>
        <w:ind w:left="820" w:right="695" w:firstLine="720"/>
        <w:jc w:val="both"/>
      </w:pPr>
      <w:r>
        <w:rPr/>
        <w:t>“Advisory council” means the governor’s Indian health advisory council established in section 3 of this</w:t>
      </w:r>
      <w:r>
        <w:rPr>
          <w:spacing w:val="-30"/>
        </w:rPr>
        <w:t> </w:t>
      </w:r>
      <w:r>
        <w:rPr/>
        <w:t>chapter.</w:t>
      </w:r>
    </w:p>
    <w:p>
      <w:pPr>
        <w:pStyle w:val="Heading5"/>
        <w:numPr>
          <w:ilvl w:val="1"/>
          <w:numId w:val="14"/>
        </w:numPr>
        <w:tabs>
          <w:tab w:pos="2165" w:val="left" w:leader="none"/>
        </w:tabs>
        <w:spacing w:line="316" w:lineRule="auto" w:before="5" w:after="0"/>
        <w:ind w:left="820" w:right="700" w:firstLine="720"/>
        <w:jc w:val="both"/>
      </w:pPr>
      <w:r>
        <w:rPr/>
        <w:t>“Advisory plan” means the plan described section 4 of this</w:t>
      </w:r>
      <w:r>
        <w:rPr>
          <w:spacing w:val="-2"/>
        </w:rPr>
        <w:t> </w:t>
      </w:r>
      <w:r>
        <w:rPr/>
        <w:t>chapter.</w:t>
      </w:r>
    </w:p>
    <w:p>
      <w:pPr>
        <w:pStyle w:val="Heading5"/>
        <w:numPr>
          <w:ilvl w:val="1"/>
          <w:numId w:val="14"/>
        </w:numPr>
        <w:tabs>
          <w:tab w:pos="2098" w:val="left" w:leader="none"/>
        </w:tabs>
        <w:spacing w:line="316" w:lineRule="auto" w:before="5" w:after="0"/>
        <w:ind w:left="820" w:right="696" w:firstLine="720"/>
        <w:jc w:val="both"/>
      </w:pPr>
      <w:r>
        <w:rPr/>
        <w:t>"American</w:t>
      </w:r>
      <w:r>
        <w:rPr>
          <w:spacing w:val="-25"/>
        </w:rPr>
        <w:t> </w:t>
      </w:r>
      <w:r>
        <w:rPr/>
        <w:t>Indian"</w:t>
      </w:r>
      <w:r>
        <w:rPr>
          <w:spacing w:val="-25"/>
        </w:rPr>
        <w:t> </w:t>
      </w:r>
      <w:r>
        <w:rPr/>
        <w:t>or</w:t>
      </w:r>
      <w:r>
        <w:rPr>
          <w:spacing w:val="-25"/>
        </w:rPr>
        <w:t> </w:t>
      </w:r>
      <w:r>
        <w:rPr/>
        <w:t>"Alaska</w:t>
      </w:r>
      <w:r>
        <w:rPr>
          <w:spacing w:val="-23"/>
        </w:rPr>
        <w:t> </w:t>
      </w:r>
      <w:r>
        <w:rPr/>
        <w:t>Native"</w:t>
      </w:r>
      <w:r>
        <w:rPr>
          <w:spacing w:val="-25"/>
        </w:rPr>
        <w:t> </w:t>
      </w:r>
      <w:r>
        <w:rPr/>
        <w:t>means</w:t>
      </w:r>
      <w:r>
        <w:rPr>
          <w:spacing w:val="-25"/>
        </w:rPr>
        <w:t> </w:t>
      </w:r>
      <w:r>
        <w:rPr/>
        <w:t>any</w:t>
      </w:r>
      <w:r>
        <w:rPr>
          <w:spacing w:val="-21"/>
        </w:rPr>
        <w:t> </w:t>
      </w:r>
      <w:r>
        <w:rPr/>
        <w:t>individual who is: (a) A member of a federally recognized tribe; or (b) eligible for the Indian health</w:t>
      </w:r>
      <w:r>
        <w:rPr>
          <w:spacing w:val="-10"/>
        </w:rPr>
        <w:t> </w:t>
      </w:r>
      <w:r>
        <w:rPr/>
        <w:t>service.</w:t>
      </w:r>
    </w:p>
    <w:p>
      <w:pPr>
        <w:pStyle w:val="Heading5"/>
        <w:numPr>
          <w:ilvl w:val="1"/>
          <w:numId w:val="14"/>
        </w:numPr>
        <w:tabs>
          <w:tab w:pos="2117" w:val="left" w:leader="none"/>
        </w:tabs>
        <w:spacing w:line="240" w:lineRule="auto" w:before="4" w:after="0"/>
        <w:ind w:left="2116" w:right="0" w:hanging="576"/>
        <w:jc w:val="left"/>
      </w:pPr>
      <w:r>
        <w:rPr/>
        <w:t>"Authority" means the health care</w:t>
      </w:r>
      <w:r>
        <w:rPr>
          <w:spacing w:val="-13"/>
        </w:rPr>
        <w:t> </w:t>
      </w:r>
      <w:r>
        <w:rPr/>
        <w:t>authority.</w:t>
      </w:r>
    </w:p>
    <w:p>
      <w:pPr>
        <w:spacing w:after="0" w:line="240" w:lineRule="auto"/>
        <w:jc w:val="left"/>
        <w:sectPr>
          <w:type w:val="continuous"/>
          <w:pgSz w:w="12240" w:h="15840"/>
          <w:pgMar w:top="1500" w:bottom="280" w:left="620" w:right="740"/>
        </w:sectPr>
      </w:pPr>
    </w:p>
    <w:p>
      <w:pPr>
        <w:pStyle w:val="Heading5"/>
        <w:numPr>
          <w:ilvl w:val="1"/>
          <w:numId w:val="14"/>
        </w:numPr>
        <w:tabs>
          <w:tab w:pos="2133" w:val="left" w:leader="none"/>
        </w:tabs>
        <w:spacing w:line="316" w:lineRule="auto" w:before="89" w:after="0"/>
        <w:ind w:left="820" w:right="700" w:firstLine="720"/>
        <w:jc w:val="both"/>
      </w:pPr>
      <w:r>
        <w:rPr/>
        <w:t>“Board” means the northwest Portland area Indian health board, an Oregon nonprofit corporation wholly controlled by the tribes in the states of Idaho, Oregon, and</w:t>
      </w:r>
      <w:r>
        <w:rPr>
          <w:spacing w:val="-23"/>
        </w:rPr>
        <w:t> </w:t>
      </w:r>
      <w:r>
        <w:rPr/>
        <w:t>Washington.</w:t>
      </w:r>
    </w:p>
    <w:p>
      <w:pPr>
        <w:pStyle w:val="Heading5"/>
        <w:numPr>
          <w:ilvl w:val="1"/>
          <w:numId w:val="14"/>
        </w:numPr>
        <w:tabs>
          <w:tab w:pos="2117" w:val="left" w:leader="none"/>
        </w:tabs>
        <w:spacing w:line="316" w:lineRule="auto" w:before="6" w:after="0"/>
        <w:ind w:left="820" w:right="696" w:firstLine="720"/>
        <w:jc w:val="both"/>
      </w:pPr>
      <w:r>
        <w:rPr/>
        <w:t>“Commission” means the American Indian health commission for Washington state, a Washington nonprofit corporation wholly controlled by the tribes and urban Indian organizations in the state.</w:t>
      </w:r>
    </w:p>
    <w:p>
      <w:pPr>
        <w:pStyle w:val="Heading5"/>
        <w:numPr>
          <w:ilvl w:val="1"/>
          <w:numId w:val="14"/>
        </w:numPr>
        <w:tabs>
          <w:tab w:pos="2133" w:val="left" w:leader="none"/>
        </w:tabs>
        <w:spacing w:line="316" w:lineRule="auto" w:before="4" w:after="0"/>
        <w:ind w:left="820" w:right="695" w:firstLine="720"/>
        <w:jc w:val="both"/>
      </w:pPr>
      <w:r>
        <w:rPr/>
        <w:t>"Community health aide" means a tribal community health provider</w:t>
      </w:r>
      <w:r>
        <w:rPr>
          <w:spacing w:val="-34"/>
        </w:rPr>
        <w:t> </w:t>
      </w:r>
      <w:r>
        <w:rPr/>
        <w:t>certified</w:t>
      </w:r>
      <w:r>
        <w:rPr>
          <w:spacing w:val="-33"/>
        </w:rPr>
        <w:t> </w:t>
      </w:r>
      <w:r>
        <w:rPr/>
        <w:t>by</w:t>
      </w:r>
      <w:r>
        <w:rPr>
          <w:spacing w:val="-34"/>
        </w:rPr>
        <w:t> </w:t>
      </w:r>
      <w:r>
        <w:rPr/>
        <w:t>a</w:t>
      </w:r>
      <w:r>
        <w:rPr>
          <w:spacing w:val="-33"/>
        </w:rPr>
        <w:t> </w:t>
      </w:r>
      <w:r>
        <w:rPr/>
        <w:t>community</w:t>
      </w:r>
      <w:r>
        <w:rPr>
          <w:spacing w:val="-34"/>
        </w:rPr>
        <w:t> </w:t>
      </w:r>
      <w:r>
        <w:rPr/>
        <w:t>health</w:t>
      </w:r>
      <w:r>
        <w:rPr>
          <w:spacing w:val="-33"/>
        </w:rPr>
        <w:t> </w:t>
      </w:r>
      <w:r>
        <w:rPr/>
        <w:t>aide</w:t>
      </w:r>
      <w:r>
        <w:rPr>
          <w:spacing w:val="-34"/>
        </w:rPr>
        <w:t> </w:t>
      </w:r>
      <w:r>
        <w:rPr/>
        <w:t>program</w:t>
      </w:r>
      <w:r>
        <w:rPr>
          <w:spacing w:val="-33"/>
        </w:rPr>
        <w:t> </w:t>
      </w:r>
      <w:r>
        <w:rPr/>
        <w:t>of</w:t>
      </w:r>
      <w:r>
        <w:rPr>
          <w:spacing w:val="-34"/>
        </w:rPr>
        <w:t> </w:t>
      </w:r>
      <w:r>
        <w:rPr/>
        <w:t>the</w:t>
      </w:r>
      <w:r>
        <w:rPr>
          <w:spacing w:val="-33"/>
        </w:rPr>
        <w:t> </w:t>
      </w:r>
      <w:r>
        <w:rPr/>
        <w:t>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w:t>
      </w:r>
      <w:r>
        <w:rPr>
          <w:spacing w:val="-3"/>
        </w:rPr>
        <w:t> </w:t>
      </w:r>
      <w:r>
        <w:rPr/>
        <w:t>therapists.</w:t>
      </w:r>
    </w:p>
    <w:p>
      <w:pPr>
        <w:pStyle w:val="Heading5"/>
        <w:numPr>
          <w:ilvl w:val="1"/>
          <w:numId w:val="14"/>
        </w:numPr>
        <w:tabs>
          <w:tab w:pos="2117" w:val="left" w:leader="none"/>
        </w:tabs>
        <w:spacing w:line="316" w:lineRule="auto" w:before="9" w:after="0"/>
        <w:ind w:left="820" w:right="696" w:firstLine="720"/>
        <w:jc w:val="both"/>
      </w:pPr>
      <w:r>
        <w:rPr/>
        <w:t>“Community health aide program” means a community health aide certification board for the state consistent with 25 U.S.C. Sec. 1616l and the training programs and certification requirements established</w:t>
      </w:r>
      <w:r>
        <w:rPr>
          <w:spacing w:val="-5"/>
        </w:rPr>
        <w:t> </w:t>
      </w:r>
      <w:r>
        <w:rPr/>
        <w:t>thereunder.</w:t>
      </w:r>
    </w:p>
    <w:p>
      <w:pPr>
        <w:pStyle w:val="Heading5"/>
        <w:numPr>
          <w:ilvl w:val="1"/>
          <w:numId w:val="14"/>
        </w:numPr>
        <w:tabs>
          <w:tab w:pos="2117" w:val="left" w:leader="none"/>
        </w:tabs>
        <w:spacing w:line="316" w:lineRule="auto" w:before="4" w:after="0"/>
        <w:ind w:left="820" w:right="697" w:firstLine="720"/>
        <w:jc w:val="both"/>
      </w:pPr>
      <w:r>
        <w:rPr/>
        <w:t>"Fee-for-service" means the state's medicaid program</w:t>
      </w:r>
      <w:r>
        <w:rPr>
          <w:spacing w:val="-47"/>
        </w:rPr>
        <w:t> </w:t>
      </w:r>
      <w:r>
        <w:rPr/>
        <w:t>for which payments are made under the state plan, without a managed care entity, in accordance with the fee-for-service payment methodology.</w:t>
      </w:r>
    </w:p>
    <w:p>
      <w:pPr>
        <w:pStyle w:val="Heading5"/>
        <w:numPr>
          <w:ilvl w:val="1"/>
          <w:numId w:val="14"/>
        </w:numPr>
        <w:tabs>
          <w:tab w:pos="2230" w:val="left" w:leader="none"/>
        </w:tabs>
        <w:spacing w:line="316" w:lineRule="auto" w:before="5" w:after="0"/>
        <w:ind w:left="820" w:right="697" w:firstLine="720"/>
        <w:jc w:val="both"/>
      </w:pPr>
      <w:r>
        <w:rPr/>
        <w:t>"Indian</w:t>
      </w:r>
      <w:r>
        <w:rPr>
          <w:spacing w:val="-38"/>
        </w:rPr>
        <w:t> </w:t>
      </w:r>
      <w:r>
        <w:rPr/>
        <w:t>health</w:t>
      </w:r>
      <w:r>
        <w:rPr>
          <w:spacing w:val="-37"/>
        </w:rPr>
        <w:t> </w:t>
      </w:r>
      <w:r>
        <w:rPr/>
        <w:t>care</w:t>
      </w:r>
      <w:r>
        <w:rPr>
          <w:spacing w:val="-38"/>
        </w:rPr>
        <w:t> </w:t>
      </w:r>
      <w:r>
        <w:rPr/>
        <w:t>provider"</w:t>
      </w:r>
      <w:r>
        <w:rPr>
          <w:spacing w:val="-39"/>
        </w:rPr>
        <w:t> </w:t>
      </w:r>
      <w:r>
        <w:rPr/>
        <w:t>means</w:t>
      </w:r>
      <w:r>
        <w:rPr>
          <w:spacing w:val="-37"/>
        </w:rPr>
        <w:t> </w:t>
      </w:r>
      <w:r>
        <w:rPr/>
        <w:t>a</w:t>
      </w:r>
      <w:r>
        <w:rPr>
          <w:spacing w:val="-38"/>
        </w:rPr>
        <w:t> </w:t>
      </w:r>
      <w:r>
        <w:rPr/>
        <w:t>health</w:t>
      </w:r>
      <w:r>
        <w:rPr>
          <w:spacing w:val="-37"/>
        </w:rPr>
        <w:t> </w:t>
      </w:r>
      <w:r>
        <w:rPr/>
        <w:t>care</w:t>
      </w:r>
      <w:r>
        <w:rPr>
          <w:spacing w:val="-37"/>
        </w:rPr>
        <w:t> </w:t>
      </w:r>
      <w:r>
        <w:rPr/>
        <w:t>program operated by the Indian health service or by a tribe, tribal organization, or urban Indian organization as those terms are defined in 25 U.S.C. Sec.</w:t>
      </w:r>
      <w:r>
        <w:rPr>
          <w:spacing w:val="-8"/>
        </w:rPr>
        <w:t> </w:t>
      </w:r>
      <w:r>
        <w:rPr/>
        <w:t>1603.</w:t>
      </w:r>
    </w:p>
    <w:p>
      <w:pPr>
        <w:pStyle w:val="Heading5"/>
        <w:numPr>
          <w:ilvl w:val="1"/>
          <w:numId w:val="14"/>
        </w:numPr>
        <w:tabs>
          <w:tab w:pos="2261" w:val="left" w:leader="none"/>
        </w:tabs>
        <w:spacing w:line="316" w:lineRule="auto" w:before="5" w:after="0"/>
        <w:ind w:left="820" w:right="697" w:firstLine="720"/>
        <w:jc w:val="both"/>
      </w:pPr>
      <w:r>
        <w:rPr/>
        <w:t>"Indian health service" means the federal agency</w:t>
      </w:r>
      <w:r>
        <w:rPr>
          <w:spacing w:val="-45"/>
        </w:rPr>
        <w:t> </w:t>
      </w:r>
      <w:r>
        <w:rPr/>
        <w:t>within the United States department of health and human</w:t>
      </w:r>
      <w:r>
        <w:rPr>
          <w:spacing w:val="-29"/>
        </w:rPr>
        <w:t> </w:t>
      </w:r>
      <w:r>
        <w:rPr/>
        <w:t>services.</w:t>
      </w:r>
    </w:p>
    <w:p>
      <w:pPr>
        <w:spacing w:after="0" w:line="316" w:lineRule="auto"/>
        <w:jc w:val="both"/>
        <w:sectPr>
          <w:pgSz w:w="12240" w:h="15840"/>
          <w:pgMar w:header="0" w:footer="1277" w:top="1360" w:bottom="1540" w:left="620" w:right="740"/>
        </w:sectPr>
      </w:pPr>
    </w:p>
    <w:p>
      <w:pPr>
        <w:pStyle w:val="Heading5"/>
        <w:numPr>
          <w:ilvl w:val="1"/>
          <w:numId w:val="14"/>
        </w:numPr>
        <w:tabs>
          <w:tab w:pos="2340" w:val="left" w:leader="none"/>
        </w:tabs>
        <w:spacing w:line="316" w:lineRule="auto" w:before="89" w:after="0"/>
        <w:ind w:left="820" w:right="695" w:firstLine="720"/>
        <w:jc w:val="both"/>
      </w:pPr>
      <w:r>
        <w:rPr/>
        <w:t>“New state savings” means the savings to the state general fund that are achieved as a result of the centers for medicare and medicaid services state health official letter 16- 002</w:t>
      </w:r>
      <w:r>
        <w:rPr>
          <w:spacing w:val="-21"/>
        </w:rPr>
        <w:t> </w:t>
      </w:r>
      <w:r>
        <w:rPr/>
        <w:t>and</w:t>
      </w:r>
      <w:r>
        <w:rPr>
          <w:spacing w:val="-21"/>
        </w:rPr>
        <w:t> </w:t>
      </w:r>
      <w:r>
        <w:rPr/>
        <w:t>related</w:t>
      </w:r>
      <w:r>
        <w:rPr>
          <w:spacing w:val="-21"/>
        </w:rPr>
        <w:t> </w:t>
      </w:r>
      <w:r>
        <w:rPr/>
        <w:t>guidance,</w:t>
      </w:r>
      <w:r>
        <w:rPr>
          <w:spacing w:val="-21"/>
        </w:rPr>
        <w:t> </w:t>
      </w:r>
      <w:r>
        <w:rPr/>
        <w:t>calculated</w:t>
      </w:r>
      <w:r>
        <w:rPr>
          <w:spacing w:val="-21"/>
        </w:rPr>
        <w:t> </w:t>
      </w:r>
      <w:r>
        <w:rPr/>
        <w:t>as</w:t>
      </w:r>
      <w:r>
        <w:rPr>
          <w:spacing w:val="-21"/>
        </w:rPr>
        <w:t> </w:t>
      </w:r>
      <w:r>
        <w:rPr/>
        <w:t>the</w:t>
      </w:r>
      <w:r>
        <w:rPr>
          <w:spacing w:val="-20"/>
        </w:rPr>
        <w:t> </w:t>
      </w:r>
      <w:r>
        <w:rPr/>
        <w:t>difference</w:t>
      </w:r>
      <w:r>
        <w:rPr>
          <w:spacing w:val="-21"/>
        </w:rPr>
        <w:t> </w:t>
      </w:r>
      <w:r>
        <w:rPr/>
        <w:t>between</w:t>
      </w:r>
      <w:r>
        <w:rPr>
          <w:spacing w:val="-21"/>
        </w:rPr>
        <w:t> </w:t>
      </w:r>
      <w:r>
        <w:rPr/>
        <w:t>(a) medicaid payments received from the centers for medicare and medicaid services based on the 100 percent federal medical assistance</w:t>
      </w:r>
      <w:r>
        <w:rPr>
          <w:spacing w:val="-25"/>
        </w:rPr>
        <w:t> </w:t>
      </w:r>
      <w:r>
        <w:rPr/>
        <w:t>percentage;</w:t>
      </w:r>
      <w:r>
        <w:rPr>
          <w:spacing w:val="-24"/>
        </w:rPr>
        <w:t> </w:t>
      </w:r>
      <w:r>
        <w:rPr/>
        <w:t>and</w:t>
      </w:r>
      <w:r>
        <w:rPr>
          <w:spacing w:val="-25"/>
        </w:rPr>
        <w:t> </w:t>
      </w:r>
      <w:r>
        <w:rPr/>
        <w:t>(b)</w:t>
      </w:r>
      <w:r>
        <w:rPr>
          <w:spacing w:val="-24"/>
        </w:rPr>
        <w:t> </w:t>
      </w:r>
      <w:r>
        <w:rPr/>
        <w:t>medicaid</w:t>
      </w:r>
      <w:r>
        <w:rPr>
          <w:spacing w:val="-24"/>
        </w:rPr>
        <w:t> </w:t>
      </w:r>
      <w:r>
        <w:rPr/>
        <w:t>payments</w:t>
      </w:r>
      <w:r>
        <w:rPr>
          <w:spacing w:val="-25"/>
        </w:rPr>
        <w:t> </w:t>
      </w:r>
      <w:r>
        <w:rPr/>
        <w:t>received</w:t>
      </w:r>
      <w:r>
        <w:rPr>
          <w:spacing w:val="-24"/>
        </w:rPr>
        <w:t> </w:t>
      </w:r>
      <w:r>
        <w:rPr/>
        <w:t>from</w:t>
      </w:r>
      <w:r>
        <w:rPr>
          <w:spacing w:val="-24"/>
        </w:rPr>
        <w:t> </w:t>
      </w:r>
      <w:r>
        <w:rPr/>
        <w:t>the centers for medicare and medicaid services based on the federal medical assistance percentage that would apply in the absence of state health official letter 16-002 and related</w:t>
      </w:r>
      <w:r>
        <w:rPr>
          <w:spacing w:val="-26"/>
        </w:rPr>
        <w:t> </w:t>
      </w:r>
      <w:r>
        <w:rPr/>
        <w:t>guidance.</w:t>
      </w:r>
    </w:p>
    <w:p>
      <w:pPr>
        <w:pStyle w:val="Heading5"/>
        <w:numPr>
          <w:ilvl w:val="1"/>
          <w:numId w:val="14"/>
        </w:numPr>
        <w:tabs>
          <w:tab w:pos="2477" w:val="left" w:leader="none"/>
        </w:tabs>
        <w:spacing w:line="316" w:lineRule="auto" w:before="7" w:after="0"/>
        <w:ind w:left="820" w:right="698" w:firstLine="720"/>
        <w:jc w:val="both"/>
      </w:pPr>
      <w:r>
        <w:rPr/>
        <w:t>“Reinvestment account” means the Indian health improvement reinvestment account established in section 4(1) of this</w:t>
      </w:r>
      <w:r>
        <w:rPr>
          <w:spacing w:val="-2"/>
        </w:rPr>
        <w:t> </w:t>
      </w:r>
      <w:r>
        <w:rPr/>
        <w:t>chapter.</w:t>
      </w:r>
    </w:p>
    <w:p>
      <w:pPr>
        <w:pStyle w:val="Heading5"/>
        <w:numPr>
          <w:ilvl w:val="1"/>
          <w:numId w:val="14"/>
        </w:numPr>
        <w:tabs>
          <w:tab w:pos="2429" w:val="left" w:leader="none"/>
        </w:tabs>
        <w:spacing w:line="316" w:lineRule="auto" w:before="4" w:after="0"/>
        <w:ind w:left="820" w:right="696" w:firstLine="720"/>
        <w:jc w:val="both"/>
      </w:pPr>
      <w:r>
        <w:rPr/>
        <w:t>“Reinvestment committee” means the Indian health improvement reinvestment committee established in section 3(3) of this</w:t>
      </w:r>
      <w:r>
        <w:rPr>
          <w:spacing w:val="-2"/>
        </w:rPr>
        <w:t> </w:t>
      </w:r>
      <w:r>
        <w:rPr/>
        <w:t>chapter.</w:t>
      </w:r>
    </w:p>
    <w:p>
      <w:pPr>
        <w:pStyle w:val="Heading5"/>
        <w:numPr>
          <w:ilvl w:val="1"/>
          <w:numId w:val="14"/>
        </w:numPr>
        <w:tabs>
          <w:tab w:pos="2292" w:val="left" w:leader="none"/>
        </w:tabs>
        <w:spacing w:line="240" w:lineRule="auto" w:before="5" w:after="0"/>
        <w:ind w:left="2291" w:right="0" w:hanging="751"/>
        <w:jc w:val="left"/>
      </w:pPr>
      <w:r>
        <w:rPr/>
        <w:t>"Tribal</w:t>
      </w:r>
      <w:r>
        <w:rPr>
          <w:spacing w:val="27"/>
        </w:rPr>
        <w:t> </w:t>
      </w:r>
      <w:r>
        <w:rPr/>
        <w:t>organization"</w:t>
      </w:r>
      <w:r>
        <w:rPr>
          <w:spacing w:val="28"/>
        </w:rPr>
        <w:t> </w:t>
      </w:r>
      <w:r>
        <w:rPr/>
        <w:t>has</w:t>
      </w:r>
      <w:r>
        <w:rPr>
          <w:spacing w:val="28"/>
        </w:rPr>
        <w:t> </w:t>
      </w:r>
      <w:r>
        <w:rPr/>
        <w:t>the</w:t>
      </w:r>
      <w:r>
        <w:rPr>
          <w:spacing w:val="28"/>
        </w:rPr>
        <w:t> </w:t>
      </w:r>
      <w:r>
        <w:rPr/>
        <w:t>meaning</w:t>
      </w:r>
      <w:r>
        <w:rPr>
          <w:spacing w:val="28"/>
        </w:rPr>
        <w:t> </w:t>
      </w:r>
      <w:r>
        <w:rPr/>
        <w:t>set</w:t>
      </w:r>
      <w:r>
        <w:rPr>
          <w:spacing w:val="27"/>
        </w:rPr>
        <w:t> </w:t>
      </w:r>
      <w:r>
        <w:rPr/>
        <w:t>forth</w:t>
      </w:r>
      <w:r>
        <w:rPr>
          <w:spacing w:val="28"/>
        </w:rPr>
        <w:t> </w:t>
      </w:r>
      <w:r>
        <w:rPr/>
        <w:t>in</w:t>
      </w:r>
      <w:r>
        <w:rPr>
          <w:spacing w:val="28"/>
        </w:rPr>
        <w:t> </w:t>
      </w:r>
      <w:r>
        <w:rPr/>
        <w:t>25</w:t>
      </w:r>
    </w:p>
    <w:p>
      <w:pPr>
        <w:pStyle w:val="Heading5"/>
        <w:spacing w:before="86"/>
        <w:ind w:right="0" w:firstLine="0"/>
        <w:jc w:val="left"/>
      </w:pPr>
      <w:r>
        <w:rPr/>
        <w:t>U.S.C. Sec. 5304.</w:t>
      </w:r>
    </w:p>
    <w:p>
      <w:pPr>
        <w:pStyle w:val="Heading5"/>
        <w:numPr>
          <w:ilvl w:val="1"/>
          <w:numId w:val="14"/>
        </w:numPr>
        <w:tabs>
          <w:tab w:pos="2405" w:val="left" w:leader="none"/>
        </w:tabs>
        <w:spacing w:line="316" w:lineRule="auto" w:before="93" w:after="0"/>
        <w:ind w:left="820" w:right="698" w:firstLine="720"/>
        <w:jc w:val="both"/>
      </w:pPr>
      <w:r>
        <w:rPr/>
        <w:t>“Tribally operated facility” means a health</w:t>
      </w:r>
      <w:r>
        <w:rPr>
          <w:spacing w:val="102"/>
        </w:rPr>
        <w:t> </w:t>
      </w:r>
      <w:r>
        <w:rPr/>
        <w:t>care facility</w:t>
      </w:r>
      <w:r>
        <w:rPr>
          <w:spacing w:val="-20"/>
        </w:rPr>
        <w:t> </w:t>
      </w:r>
      <w:r>
        <w:rPr/>
        <w:t>operated</w:t>
      </w:r>
      <w:r>
        <w:rPr>
          <w:spacing w:val="-19"/>
        </w:rPr>
        <w:t> </w:t>
      </w:r>
      <w:r>
        <w:rPr/>
        <w:t>by</w:t>
      </w:r>
      <w:r>
        <w:rPr>
          <w:spacing w:val="-20"/>
        </w:rPr>
        <w:t> </w:t>
      </w:r>
      <w:r>
        <w:rPr/>
        <w:t>one</w:t>
      </w:r>
      <w:r>
        <w:rPr>
          <w:spacing w:val="-19"/>
        </w:rPr>
        <w:t> </w:t>
      </w:r>
      <w:r>
        <w:rPr/>
        <w:t>or</w:t>
      </w:r>
      <w:r>
        <w:rPr>
          <w:spacing w:val="-20"/>
        </w:rPr>
        <w:t> </w:t>
      </w:r>
      <w:r>
        <w:rPr/>
        <w:t>more</w:t>
      </w:r>
      <w:r>
        <w:rPr>
          <w:spacing w:val="-19"/>
        </w:rPr>
        <w:t> </w:t>
      </w:r>
      <w:r>
        <w:rPr/>
        <w:t>tribes</w:t>
      </w:r>
      <w:r>
        <w:rPr>
          <w:spacing w:val="-19"/>
        </w:rPr>
        <w:t> </w:t>
      </w:r>
      <w:r>
        <w:rPr/>
        <w:t>or</w:t>
      </w:r>
      <w:r>
        <w:rPr>
          <w:spacing w:val="-20"/>
        </w:rPr>
        <w:t> </w:t>
      </w:r>
      <w:r>
        <w:rPr/>
        <w:t>tribal</w:t>
      </w:r>
      <w:r>
        <w:rPr>
          <w:spacing w:val="-19"/>
        </w:rPr>
        <w:t> </w:t>
      </w:r>
      <w:r>
        <w:rPr/>
        <w:t>organizations</w:t>
      </w:r>
      <w:r>
        <w:rPr>
          <w:spacing w:val="-20"/>
        </w:rPr>
        <w:t> </w:t>
      </w:r>
      <w:r>
        <w:rPr/>
        <w:t>to provide specialty services, including but not limited to evaluation and treatment services, secure detox services, inpatient psychiatric services, nursing home services, and residential substance use disorder</w:t>
      </w:r>
      <w:r>
        <w:rPr>
          <w:spacing w:val="-10"/>
        </w:rPr>
        <w:t> </w:t>
      </w:r>
      <w:r>
        <w:rPr/>
        <w:t>services.</w:t>
      </w:r>
    </w:p>
    <w:p>
      <w:pPr>
        <w:pStyle w:val="Heading5"/>
        <w:numPr>
          <w:ilvl w:val="1"/>
          <w:numId w:val="14"/>
        </w:numPr>
        <w:tabs>
          <w:tab w:pos="2277" w:val="left" w:leader="none"/>
        </w:tabs>
        <w:spacing w:line="316" w:lineRule="auto" w:before="5" w:after="0"/>
        <w:ind w:left="820" w:right="696" w:firstLine="720"/>
        <w:jc w:val="both"/>
      </w:pPr>
      <w:r>
        <w:rPr/>
        <w:t>"Tribe"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w:t>
      </w:r>
      <w:r>
        <w:rPr>
          <w:spacing w:val="-20"/>
        </w:rPr>
        <w:t> </w:t>
      </w:r>
      <w:r>
        <w:rPr/>
        <w:t>special</w:t>
      </w:r>
      <w:r>
        <w:rPr>
          <w:spacing w:val="-19"/>
        </w:rPr>
        <w:t> </w:t>
      </w:r>
      <w:r>
        <w:rPr/>
        <w:t>programs</w:t>
      </w:r>
      <w:r>
        <w:rPr>
          <w:spacing w:val="-19"/>
        </w:rPr>
        <w:t> </w:t>
      </w:r>
      <w:r>
        <w:rPr/>
        <w:t>and</w:t>
      </w:r>
      <w:r>
        <w:rPr>
          <w:spacing w:val="-19"/>
        </w:rPr>
        <w:t> </w:t>
      </w:r>
      <w:r>
        <w:rPr/>
        <w:t>services</w:t>
      </w:r>
      <w:r>
        <w:rPr>
          <w:spacing w:val="-20"/>
        </w:rPr>
        <w:t> </w:t>
      </w:r>
      <w:r>
        <w:rPr/>
        <w:t>provided</w:t>
      </w:r>
      <w:r>
        <w:rPr>
          <w:spacing w:val="-19"/>
        </w:rPr>
        <w:t> </w:t>
      </w:r>
      <w:r>
        <w:rPr/>
        <w:t>by</w:t>
      </w:r>
      <w:r>
        <w:rPr>
          <w:spacing w:val="-19"/>
        </w:rPr>
        <w:t> </w:t>
      </w:r>
      <w:r>
        <w:rPr/>
        <w:t>the</w:t>
      </w:r>
      <w:r>
        <w:rPr>
          <w:spacing w:val="-19"/>
        </w:rPr>
        <w:t> </w:t>
      </w:r>
      <w:r>
        <w:rPr/>
        <w:t>United</w:t>
      </w:r>
      <w:r>
        <w:rPr>
          <w:spacing w:val="-20"/>
        </w:rPr>
        <w:t> </w:t>
      </w:r>
      <w:r>
        <w:rPr/>
        <w:t>States</w:t>
      </w:r>
      <w:r>
        <w:rPr>
          <w:spacing w:val="-19"/>
        </w:rPr>
        <w:t> </w:t>
      </w:r>
      <w:r>
        <w:rPr/>
        <w:t>to Indians because of their status as</w:t>
      </w:r>
      <w:r>
        <w:rPr>
          <w:spacing w:val="-13"/>
        </w:rPr>
        <w:t> </w:t>
      </w:r>
      <w:r>
        <w:rPr/>
        <w:t>Indians.</w:t>
      </w:r>
    </w:p>
    <w:p>
      <w:pPr>
        <w:pStyle w:val="Heading5"/>
        <w:numPr>
          <w:ilvl w:val="1"/>
          <w:numId w:val="14"/>
        </w:numPr>
        <w:tabs>
          <w:tab w:pos="2292" w:val="left" w:leader="none"/>
        </w:tabs>
        <w:spacing w:line="316" w:lineRule="auto" w:before="6" w:after="0"/>
        <w:ind w:left="820" w:right="697" w:firstLine="720"/>
        <w:jc w:val="both"/>
      </w:pPr>
      <w:r>
        <w:rPr/>
        <w:t>"Urban Indian" means any individual who resides in an urban</w:t>
      </w:r>
      <w:r>
        <w:rPr>
          <w:spacing w:val="-17"/>
        </w:rPr>
        <w:t> </w:t>
      </w:r>
      <w:r>
        <w:rPr/>
        <w:t>center</w:t>
      </w:r>
      <w:r>
        <w:rPr>
          <w:spacing w:val="-16"/>
        </w:rPr>
        <w:t> </w:t>
      </w:r>
      <w:r>
        <w:rPr/>
        <w:t>and</w:t>
      </w:r>
      <w:r>
        <w:rPr>
          <w:spacing w:val="-17"/>
        </w:rPr>
        <w:t> </w:t>
      </w:r>
      <w:r>
        <w:rPr/>
        <w:t>is:</w:t>
      </w:r>
      <w:r>
        <w:rPr>
          <w:spacing w:val="-16"/>
        </w:rPr>
        <w:t> </w:t>
      </w:r>
      <w:r>
        <w:rPr/>
        <w:t>(a)</w:t>
      </w:r>
      <w:r>
        <w:rPr>
          <w:spacing w:val="-15"/>
        </w:rPr>
        <w:t> </w:t>
      </w:r>
      <w:r>
        <w:rPr/>
        <w:t>a</w:t>
      </w:r>
      <w:r>
        <w:rPr>
          <w:spacing w:val="-17"/>
        </w:rPr>
        <w:t> </w:t>
      </w:r>
      <w:r>
        <w:rPr/>
        <w:t>member</w:t>
      </w:r>
      <w:r>
        <w:rPr>
          <w:spacing w:val="-16"/>
        </w:rPr>
        <w:t> </w:t>
      </w:r>
      <w:r>
        <w:rPr/>
        <w:t>of</w:t>
      </w:r>
      <w:r>
        <w:rPr>
          <w:spacing w:val="-17"/>
        </w:rPr>
        <w:t> </w:t>
      </w:r>
      <w:r>
        <w:rPr/>
        <w:t>a</w:t>
      </w:r>
      <w:r>
        <w:rPr>
          <w:spacing w:val="-16"/>
        </w:rPr>
        <w:t> </w:t>
      </w:r>
      <w:r>
        <w:rPr/>
        <w:t>tribe</w:t>
      </w:r>
      <w:r>
        <w:rPr>
          <w:spacing w:val="-16"/>
        </w:rPr>
        <w:t> </w:t>
      </w:r>
      <w:r>
        <w:rPr/>
        <w:t>terminated</w:t>
      </w:r>
      <w:r>
        <w:rPr>
          <w:spacing w:val="-17"/>
        </w:rPr>
        <w:t> </w:t>
      </w:r>
      <w:r>
        <w:rPr/>
        <w:t>since</w:t>
      </w:r>
      <w:r>
        <w:rPr>
          <w:spacing w:val="-16"/>
        </w:rPr>
        <w:t> </w:t>
      </w:r>
      <w:r>
        <w:rPr/>
        <w:t>1940 and those tribes recognized now or in the future by the state in which they reside, or who is a descendant, in the first or</w:t>
      </w:r>
      <w:r>
        <w:rPr>
          <w:spacing w:val="-52"/>
        </w:rPr>
        <w:t> </w:t>
      </w:r>
      <w:r>
        <w:rPr/>
        <w:t>second</w:t>
      </w:r>
    </w:p>
    <w:p>
      <w:pPr>
        <w:spacing w:after="0" w:line="316" w:lineRule="auto"/>
        <w:jc w:val="both"/>
        <w:sectPr>
          <w:pgSz w:w="12240" w:h="15840"/>
          <w:pgMar w:header="0" w:footer="1277" w:top="1360" w:bottom="1540" w:left="620" w:right="740"/>
        </w:sectPr>
      </w:pPr>
    </w:p>
    <w:p>
      <w:pPr>
        <w:pStyle w:val="Heading5"/>
        <w:spacing w:line="316" w:lineRule="auto" w:before="89"/>
        <w:ind w:right="695" w:firstLine="0"/>
      </w:pPr>
      <w:r>
        <w:rPr/>
        <w:t>degree,</w:t>
      </w:r>
      <w:r>
        <w:rPr>
          <w:spacing w:val="-17"/>
        </w:rPr>
        <w:t> </w:t>
      </w:r>
      <w:r>
        <w:rPr/>
        <w:t>of</w:t>
      </w:r>
      <w:r>
        <w:rPr>
          <w:spacing w:val="-16"/>
        </w:rPr>
        <w:t> </w:t>
      </w:r>
      <w:r>
        <w:rPr/>
        <w:t>any</w:t>
      </w:r>
      <w:r>
        <w:rPr>
          <w:spacing w:val="-17"/>
        </w:rPr>
        <w:t> </w:t>
      </w:r>
      <w:r>
        <w:rPr/>
        <w:t>such</w:t>
      </w:r>
      <w:r>
        <w:rPr>
          <w:spacing w:val="-16"/>
        </w:rPr>
        <w:t> </w:t>
      </w:r>
      <w:r>
        <w:rPr/>
        <w:t>member;</w:t>
      </w:r>
      <w:r>
        <w:rPr>
          <w:spacing w:val="-16"/>
        </w:rPr>
        <w:t> </w:t>
      </w:r>
      <w:r>
        <w:rPr/>
        <w:t>(b)</w:t>
      </w:r>
      <w:r>
        <w:rPr>
          <w:spacing w:val="-17"/>
        </w:rPr>
        <w:t> </w:t>
      </w:r>
      <w:r>
        <w:rPr/>
        <w:t>an</w:t>
      </w:r>
      <w:r>
        <w:rPr>
          <w:spacing w:val="-16"/>
        </w:rPr>
        <w:t> </w:t>
      </w:r>
      <w:r>
        <w:rPr/>
        <w:t>Eskimo</w:t>
      </w:r>
      <w:r>
        <w:rPr>
          <w:spacing w:val="-17"/>
        </w:rPr>
        <w:t> </w:t>
      </w:r>
      <w:r>
        <w:rPr/>
        <w:t>or</w:t>
      </w:r>
      <w:r>
        <w:rPr>
          <w:spacing w:val="-16"/>
        </w:rPr>
        <w:t> </w:t>
      </w:r>
      <w:r>
        <w:rPr/>
        <w:t>Aleut</w:t>
      </w:r>
      <w:r>
        <w:rPr>
          <w:spacing w:val="-16"/>
        </w:rPr>
        <w:t> </w:t>
      </w:r>
      <w:r>
        <w:rPr/>
        <w:t>or</w:t>
      </w:r>
      <w:r>
        <w:rPr>
          <w:spacing w:val="-17"/>
        </w:rPr>
        <w:t> </w:t>
      </w:r>
      <w:r>
        <w:rPr/>
        <w:t>other</w:t>
      </w:r>
      <w:r>
        <w:rPr>
          <w:spacing w:val="-16"/>
        </w:rPr>
        <w:t> </w:t>
      </w:r>
      <w:r>
        <w:rPr/>
        <w:t>Alaska Native;(c) considered by the secretary of the interior to be an Indian for any purpose; or (d) considered by the United States secretary</w:t>
      </w:r>
      <w:r>
        <w:rPr>
          <w:spacing w:val="-31"/>
        </w:rPr>
        <w:t> </w:t>
      </w:r>
      <w:r>
        <w:rPr/>
        <w:t>of</w:t>
      </w:r>
      <w:r>
        <w:rPr>
          <w:spacing w:val="-31"/>
        </w:rPr>
        <w:t> </w:t>
      </w:r>
      <w:r>
        <w:rPr/>
        <w:t>health</w:t>
      </w:r>
      <w:r>
        <w:rPr>
          <w:spacing w:val="-31"/>
        </w:rPr>
        <w:t> </w:t>
      </w:r>
      <w:r>
        <w:rPr/>
        <w:t>and</w:t>
      </w:r>
      <w:r>
        <w:rPr>
          <w:spacing w:val="-31"/>
        </w:rPr>
        <w:t> </w:t>
      </w:r>
      <w:r>
        <w:rPr/>
        <w:t>human</w:t>
      </w:r>
      <w:r>
        <w:rPr>
          <w:spacing w:val="-31"/>
        </w:rPr>
        <w:t> </w:t>
      </w:r>
      <w:r>
        <w:rPr/>
        <w:t>services</w:t>
      </w:r>
      <w:r>
        <w:rPr>
          <w:spacing w:val="-31"/>
        </w:rPr>
        <w:t> </w:t>
      </w:r>
      <w:r>
        <w:rPr/>
        <w:t>to</w:t>
      </w:r>
      <w:r>
        <w:rPr>
          <w:spacing w:val="-31"/>
        </w:rPr>
        <w:t> </w:t>
      </w:r>
      <w:r>
        <w:rPr/>
        <w:t>be</w:t>
      </w:r>
      <w:r>
        <w:rPr>
          <w:spacing w:val="-31"/>
        </w:rPr>
        <w:t> </w:t>
      </w:r>
      <w:r>
        <w:rPr/>
        <w:t>an</w:t>
      </w:r>
      <w:r>
        <w:rPr>
          <w:spacing w:val="-31"/>
        </w:rPr>
        <w:t> </w:t>
      </w:r>
      <w:r>
        <w:rPr/>
        <w:t>Indian</w:t>
      </w:r>
      <w:r>
        <w:rPr>
          <w:spacing w:val="-31"/>
        </w:rPr>
        <w:t> </w:t>
      </w:r>
      <w:r>
        <w:rPr/>
        <w:t>for</w:t>
      </w:r>
      <w:r>
        <w:rPr>
          <w:spacing w:val="-31"/>
        </w:rPr>
        <w:t> </w:t>
      </w:r>
      <w:r>
        <w:rPr/>
        <w:t>purposes of eligibility for Indian health services, including as a California Indian, Eskimo, Aleut, or other Alaska</w:t>
      </w:r>
      <w:r>
        <w:rPr>
          <w:spacing w:val="-27"/>
        </w:rPr>
        <w:t> </w:t>
      </w:r>
      <w:r>
        <w:rPr/>
        <w:t>Native.</w:t>
      </w:r>
    </w:p>
    <w:p>
      <w:pPr>
        <w:pStyle w:val="Heading5"/>
        <w:numPr>
          <w:ilvl w:val="1"/>
          <w:numId w:val="14"/>
        </w:numPr>
        <w:tabs>
          <w:tab w:pos="2383" w:val="left" w:leader="none"/>
        </w:tabs>
        <w:spacing w:line="316" w:lineRule="auto" w:before="4" w:after="0"/>
        <w:ind w:left="820" w:right="698" w:firstLine="720"/>
        <w:jc w:val="both"/>
      </w:pPr>
      <w:r>
        <w:rPr/>
        <w:t>"Urban Indian organization" means an urban Indian organization, as defined by 25 U.S.C. Sec.</w:t>
      </w:r>
      <w:r>
        <w:rPr>
          <w:spacing w:val="-20"/>
        </w:rPr>
        <w:t> </w:t>
      </w:r>
      <w:r>
        <w:rPr/>
        <w:t>1603(29).</w:t>
      </w:r>
    </w:p>
    <w:p>
      <w:pPr>
        <w:pStyle w:val="BodyText"/>
        <w:rPr>
          <w:rFonts w:ascii="Courier New"/>
          <w:sz w:val="32"/>
        </w:rPr>
      </w:pPr>
    </w:p>
    <w:p>
      <w:pPr>
        <w:pStyle w:val="Heading5"/>
        <w:spacing w:line="321" w:lineRule="auto" w:before="0"/>
        <w:ind w:right="698" w:firstLine="719"/>
      </w:pPr>
      <w:r>
        <w:rPr>
          <w:u w:val="single"/>
        </w:rPr>
        <w:t>NEW SECTION.</w:t>
      </w:r>
      <w:r>
        <w:rPr/>
        <w:t> </w:t>
      </w:r>
      <w:r>
        <w:rPr>
          <w:b/>
        </w:rPr>
        <w:t>Sec. 3. </w:t>
      </w:r>
      <w:r>
        <w:rPr/>
        <w:t>(1) The governor's Indian health advisory council is established, consisting of:</w:t>
      </w:r>
    </w:p>
    <w:p>
      <w:pPr>
        <w:pStyle w:val="Heading5"/>
        <w:numPr>
          <w:ilvl w:val="0"/>
          <w:numId w:val="17"/>
        </w:numPr>
        <w:tabs>
          <w:tab w:pos="2117" w:val="left" w:leader="none"/>
        </w:tabs>
        <w:spacing w:line="271" w:lineRule="exact" w:before="0" w:after="0"/>
        <w:ind w:left="2116" w:right="0" w:hanging="576"/>
        <w:jc w:val="left"/>
      </w:pPr>
      <w:r>
        <w:rPr/>
        <w:t>The following voting</w:t>
      </w:r>
      <w:r>
        <w:rPr>
          <w:spacing w:val="-5"/>
        </w:rPr>
        <w:t> </w:t>
      </w:r>
      <w:r>
        <w:rPr/>
        <w:t>members:</w:t>
      </w:r>
    </w:p>
    <w:p>
      <w:pPr>
        <w:pStyle w:val="Heading5"/>
        <w:numPr>
          <w:ilvl w:val="0"/>
          <w:numId w:val="18"/>
        </w:numPr>
        <w:tabs>
          <w:tab w:pos="2170" w:val="left" w:leader="none"/>
        </w:tabs>
        <w:spacing w:line="316" w:lineRule="auto" w:before="93" w:after="0"/>
        <w:ind w:left="820" w:right="698" w:firstLine="720"/>
        <w:jc w:val="both"/>
      </w:pPr>
      <w:r>
        <w:rPr/>
        <w:t>One representative from each tribe, designated by the tribal council, who is either the tribe's commission delegate or an</w:t>
      </w:r>
      <w:r>
        <w:rPr>
          <w:spacing w:val="-20"/>
        </w:rPr>
        <w:t> </w:t>
      </w:r>
      <w:r>
        <w:rPr/>
        <w:t>individual</w:t>
      </w:r>
      <w:r>
        <w:rPr>
          <w:spacing w:val="-19"/>
        </w:rPr>
        <w:t> </w:t>
      </w:r>
      <w:r>
        <w:rPr/>
        <w:t>specifically</w:t>
      </w:r>
      <w:r>
        <w:rPr>
          <w:spacing w:val="-20"/>
        </w:rPr>
        <w:t> </w:t>
      </w:r>
      <w:r>
        <w:rPr/>
        <w:t>designated</w:t>
      </w:r>
      <w:r>
        <w:rPr>
          <w:spacing w:val="-19"/>
        </w:rPr>
        <w:t> </w:t>
      </w:r>
      <w:r>
        <w:rPr/>
        <w:t>for</w:t>
      </w:r>
      <w:r>
        <w:rPr>
          <w:spacing w:val="-20"/>
        </w:rPr>
        <w:t> </w:t>
      </w:r>
      <w:r>
        <w:rPr/>
        <w:t>this</w:t>
      </w:r>
      <w:r>
        <w:rPr>
          <w:spacing w:val="-19"/>
        </w:rPr>
        <w:t> </w:t>
      </w:r>
      <w:r>
        <w:rPr/>
        <w:t>role,</w:t>
      </w:r>
      <w:r>
        <w:rPr>
          <w:spacing w:val="-19"/>
        </w:rPr>
        <w:t> </w:t>
      </w:r>
      <w:r>
        <w:rPr/>
        <w:t>or</w:t>
      </w:r>
      <w:r>
        <w:rPr>
          <w:spacing w:val="-20"/>
        </w:rPr>
        <w:t> </w:t>
      </w:r>
      <w:r>
        <w:rPr/>
        <w:t>his</w:t>
      </w:r>
      <w:r>
        <w:rPr>
          <w:spacing w:val="-19"/>
        </w:rPr>
        <w:t> </w:t>
      </w:r>
      <w:r>
        <w:rPr/>
        <w:t>or</w:t>
      </w:r>
      <w:r>
        <w:rPr>
          <w:spacing w:val="-20"/>
        </w:rPr>
        <w:t> </w:t>
      </w:r>
      <w:r>
        <w:rPr/>
        <w:t>her designee;</w:t>
      </w:r>
    </w:p>
    <w:p>
      <w:pPr>
        <w:pStyle w:val="Heading5"/>
        <w:numPr>
          <w:ilvl w:val="0"/>
          <w:numId w:val="18"/>
        </w:numPr>
        <w:tabs>
          <w:tab w:pos="2405" w:val="left" w:leader="none"/>
        </w:tabs>
        <w:spacing w:line="316" w:lineRule="auto" w:before="5" w:after="0"/>
        <w:ind w:left="820" w:right="696" w:firstLine="742"/>
        <w:jc w:val="both"/>
      </w:pPr>
      <w:r>
        <w:rPr/>
        <w:t>The chief executive officer of each urban Indian organization, or the urban Indian organization’s commission delegate if applicable, or his or her designee;(iii) One member from each of the two largest caucuses of the house of representatives, appointed by the speaker of the house of representatives;</w:t>
      </w:r>
    </w:p>
    <w:p>
      <w:pPr>
        <w:pStyle w:val="Heading5"/>
        <w:numPr>
          <w:ilvl w:val="0"/>
          <w:numId w:val="19"/>
        </w:numPr>
        <w:tabs>
          <w:tab w:pos="2280" w:val="left" w:leader="none"/>
        </w:tabs>
        <w:spacing w:line="316" w:lineRule="auto" w:before="4" w:after="0"/>
        <w:ind w:left="820" w:right="699" w:firstLine="742"/>
        <w:jc w:val="both"/>
      </w:pPr>
      <w:r>
        <w:rPr/>
        <w:t>One member from each of the two largest caucuses of</w:t>
      </w:r>
      <w:r>
        <w:rPr>
          <w:spacing w:val="-59"/>
        </w:rPr>
        <w:t> </w:t>
      </w:r>
      <w:r>
        <w:rPr/>
        <w:t>the senate, appointed by the president of the senate;</w:t>
      </w:r>
      <w:r>
        <w:rPr>
          <w:spacing w:val="-23"/>
        </w:rPr>
        <w:t> </w:t>
      </w:r>
      <w:r>
        <w:rPr/>
        <w:t>and</w:t>
      </w:r>
    </w:p>
    <w:p>
      <w:pPr>
        <w:pStyle w:val="Heading5"/>
        <w:numPr>
          <w:ilvl w:val="0"/>
          <w:numId w:val="19"/>
        </w:numPr>
        <w:tabs>
          <w:tab w:pos="2138" w:val="left" w:leader="none"/>
        </w:tabs>
        <w:spacing w:line="240" w:lineRule="auto" w:before="3" w:after="0"/>
        <w:ind w:left="2138" w:right="0" w:hanging="576"/>
        <w:jc w:val="left"/>
      </w:pPr>
      <w:r>
        <w:rPr/>
        <w:t>One member representing the governor's office;</w:t>
      </w:r>
      <w:r>
        <w:rPr>
          <w:spacing w:val="-18"/>
        </w:rPr>
        <w:t> </w:t>
      </w:r>
      <w:r>
        <w:rPr/>
        <w:t>and</w:t>
      </w:r>
    </w:p>
    <w:p>
      <w:pPr>
        <w:pStyle w:val="Heading5"/>
        <w:numPr>
          <w:ilvl w:val="0"/>
          <w:numId w:val="17"/>
        </w:numPr>
        <w:tabs>
          <w:tab w:pos="2117" w:val="left" w:leader="none"/>
        </w:tabs>
        <w:spacing w:line="240" w:lineRule="auto" w:before="93" w:after="0"/>
        <w:ind w:left="2116" w:right="0" w:hanging="576"/>
        <w:jc w:val="left"/>
      </w:pPr>
      <w:r>
        <w:rPr/>
        <w:t>The following non-voting</w:t>
      </w:r>
      <w:r>
        <w:rPr>
          <w:spacing w:val="-6"/>
        </w:rPr>
        <w:t> </w:t>
      </w:r>
      <w:r>
        <w:rPr/>
        <w:t>members:</w:t>
      </w:r>
    </w:p>
    <w:p>
      <w:pPr>
        <w:pStyle w:val="Heading5"/>
        <w:numPr>
          <w:ilvl w:val="0"/>
          <w:numId w:val="20"/>
        </w:numPr>
        <w:tabs>
          <w:tab w:pos="2117" w:val="left" w:leader="none"/>
        </w:tabs>
        <w:spacing w:line="316" w:lineRule="auto" w:before="92" w:after="0"/>
        <w:ind w:left="820" w:right="696" w:firstLine="720"/>
        <w:jc w:val="both"/>
      </w:pPr>
      <w:r>
        <w:rPr/>
        <w:t>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w:t>
      </w:r>
      <w:r>
        <w:rPr>
          <w:spacing w:val="-25"/>
        </w:rPr>
        <w:t> </w:t>
      </w:r>
      <w:r>
        <w:rPr/>
        <w:t>commissioner;</w:t>
      </w:r>
      <w:r>
        <w:rPr>
          <w:spacing w:val="-25"/>
        </w:rPr>
        <w:t> </w:t>
      </w:r>
      <w:r>
        <w:rPr/>
        <w:t>the</w:t>
      </w:r>
      <w:r>
        <w:rPr>
          <w:spacing w:val="-25"/>
        </w:rPr>
        <w:t> </w:t>
      </w:r>
      <w:r>
        <w:rPr/>
        <w:t>office</w:t>
      </w:r>
      <w:r>
        <w:rPr>
          <w:spacing w:val="-23"/>
        </w:rPr>
        <w:t> </w:t>
      </w:r>
      <w:r>
        <w:rPr/>
        <w:t>of</w:t>
      </w:r>
      <w:r>
        <w:rPr>
          <w:spacing w:val="-25"/>
        </w:rPr>
        <w:t> </w:t>
      </w:r>
      <w:r>
        <w:rPr/>
        <w:t>the</w:t>
      </w:r>
      <w:r>
        <w:rPr>
          <w:spacing w:val="-25"/>
        </w:rPr>
        <w:t> </w:t>
      </w:r>
      <w:r>
        <w:rPr/>
        <w:t>superintendent</w:t>
      </w:r>
      <w:r>
        <w:rPr>
          <w:spacing w:val="-24"/>
        </w:rPr>
        <w:t> </w:t>
      </w:r>
      <w:r>
        <w:rPr/>
        <w:t>of</w:t>
      </w:r>
      <w:r>
        <w:rPr>
          <w:spacing w:val="-25"/>
        </w:rPr>
        <w:t> </w:t>
      </w:r>
      <w:r>
        <w:rPr/>
        <w:t>public instruction; and the Washington health benefit</w:t>
      </w:r>
      <w:r>
        <w:rPr>
          <w:spacing w:val="-24"/>
        </w:rPr>
        <w:t> </w:t>
      </w:r>
      <w:r>
        <w:rPr/>
        <w:t>exchange;</w:t>
      </w:r>
    </w:p>
    <w:p>
      <w:pPr>
        <w:pStyle w:val="Heading5"/>
        <w:numPr>
          <w:ilvl w:val="0"/>
          <w:numId w:val="20"/>
        </w:numPr>
        <w:tabs>
          <w:tab w:pos="2230" w:val="left" w:leader="none"/>
        </w:tabs>
        <w:spacing w:line="316" w:lineRule="auto" w:before="7" w:after="0"/>
        <w:ind w:left="820" w:right="698" w:firstLine="720"/>
        <w:jc w:val="both"/>
      </w:pPr>
      <w:r>
        <w:rPr/>
        <w:t>The</w:t>
      </w:r>
      <w:r>
        <w:rPr>
          <w:spacing w:val="-38"/>
        </w:rPr>
        <w:t> </w:t>
      </w:r>
      <w:r>
        <w:rPr/>
        <w:t>chief</w:t>
      </w:r>
      <w:r>
        <w:rPr>
          <w:spacing w:val="-38"/>
        </w:rPr>
        <w:t> </w:t>
      </w:r>
      <w:r>
        <w:rPr/>
        <w:t>operating</w:t>
      </w:r>
      <w:r>
        <w:rPr>
          <w:spacing w:val="-37"/>
        </w:rPr>
        <w:t> </w:t>
      </w:r>
      <w:r>
        <w:rPr/>
        <w:t>officer</w:t>
      </w:r>
      <w:r>
        <w:rPr>
          <w:spacing w:val="-38"/>
        </w:rPr>
        <w:t> </w:t>
      </w:r>
      <w:r>
        <w:rPr/>
        <w:t>of</w:t>
      </w:r>
      <w:r>
        <w:rPr>
          <w:spacing w:val="-37"/>
        </w:rPr>
        <w:t> </w:t>
      </w:r>
      <w:r>
        <w:rPr/>
        <w:t>each</w:t>
      </w:r>
      <w:r>
        <w:rPr>
          <w:spacing w:val="-38"/>
        </w:rPr>
        <w:t> </w:t>
      </w:r>
      <w:r>
        <w:rPr/>
        <w:t>Indian</w:t>
      </w:r>
      <w:r>
        <w:rPr>
          <w:spacing w:val="-38"/>
        </w:rPr>
        <w:t> </w:t>
      </w:r>
      <w:r>
        <w:rPr/>
        <w:t>health</w:t>
      </w:r>
      <w:r>
        <w:rPr>
          <w:spacing w:val="-37"/>
        </w:rPr>
        <w:t> </w:t>
      </w:r>
      <w:r>
        <w:rPr/>
        <w:t>service area office and service unit, or his or her</w:t>
      </w:r>
      <w:r>
        <w:rPr>
          <w:spacing w:val="-24"/>
        </w:rPr>
        <w:t> </w:t>
      </w:r>
      <w:r>
        <w:rPr/>
        <w:t>designee;</w:t>
      </w:r>
    </w:p>
    <w:p>
      <w:pPr>
        <w:spacing w:after="0" w:line="316" w:lineRule="auto"/>
        <w:jc w:val="both"/>
        <w:sectPr>
          <w:pgSz w:w="12240" w:h="15840"/>
          <w:pgMar w:header="0" w:footer="1277" w:top="1360" w:bottom="1540" w:left="620" w:right="740"/>
        </w:sectPr>
      </w:pPr>
    </w:p>
    <w:p>
      <w:pPr>
        <w:pStyle w:val="Heading5"/>
        <w:numPr>
          <w:ilvl w:val="0"/>
          <w:numId w:val="20"/>
        </w:numPr>
        <w:tabs>
          <w:tab w:pos="2410" w:val="left" w:leader="none"/>
        </w:tabs>
        <w:spacing w:line="316" w:lineRule="auto" w:before="89" w:after="0"/>
        <w:ind w:left="820" w:right="701" w:firstLine="742"/>
        <w:jc w:val="both"/>
      </w:pPr>
      <w:r>
        <w:rPr/>
        <w:t>The</w:t>
      </w:r>
      <w:r>
        <w:rPr>
          <w:spacing w:val="-21"/>
        </w:rPr>
        <w:t> </w:t>
      </w:r>
      <w:r>
        <w:rPr/>
        <w:t>executive</w:t>
      </w:r>
      <w:r>
        <w:rPr>
          <w:spacing w:val="-21"/>
        </w:rPr>
        <w:t> </w:t>
      </w:r>
      <w:r>
        <w:rPr/>
        <w:t>director</w:t>
      </w:r>
      <w:r>
        <w:rPr>
          <w:spacing w:val="-21"/>
        </w:rPr>
        <w:t> </w:t>
      </w:r>
      <w:r>
        <w:rPr/>
        <w:t>of</w:t>
      </w:r>
      <w:r>
        <w:rPr>
          <w:spacing w:val="-21"/>
        </w:rPr>
        <w:t> </w:t>
      </w:r>
      <w:r>
        <w:rPr/>
        <w:t>the</w:t>
      </w:r>
      <w:r>
        <w:rPr>
          <w:spacing w:val="-21"/>
        </w:rPr>
        <w:t> </w:t>
      </w:r>
      <w:r>
        <w:rPr/>
        <w:t>commission,</w:t>
      </w:r>
      <w:r>
        <w:rPr>
          <w:spacing w:val="-21"/>
        </w:rPr>
        <w:t> </w:t>
      </w:r>
      <w:r>
        <w:rPr/>
        <w:t>or</w:t>
      </w:r>
      <w:r>
        <w:rPr>
          <w:spacing w:val="-21"/>
        </w:rPr>
        <w:t> </w:t>
      </w:r>
      <w:r>
        <w:rPr/>
        <w:t>his</w:t>
      </w:r>
      <w:r>
        <w:rPr>
          <w:spacing w:val="-21"/>
        </w:rPr>
        <w:t> </w:t>
      </w:r>
      <w:r>
        <w:rPr/>
        <w:t>or</w:t>
      </w:r>
      <w:r>
        <w:rPr>
          <w:spacing w:val="-21"/>
        </w:rPr>
        <w:t> </w:t>
      </w:r>
      <w:r>
        <w:rPr/>
        <w:t>her designee;</w:t>
      </w:r>
      <w:r>
        <w:rPr>
          <w:spacing w:val="-2"/>
        </w:rPr>
        <w:t> </w:t>
      </w:r>
      <w:r>
        <w:rPr/>
        <w:t>and</w:t>
      </w:r>
    </w:p>
    <w:p>
      <w:pPr>
        <w:pStyle w:val="Heading5"/>
        <w:numPr>
          <w:ilvl w:val="0"/>
          <w:numId w:val="20"/>
        </w:numPr>
        <w:tabs>
          <w:tab w:pos="2352" w:val="left" w:leader="none"/>
        </w:tabs>
        <w:spacing w:line="316" w:lineRule="auto" w:before="5" w:after="0"/>
        <w:ind w:left="820" w:right="703" w:firstLine="742"/>
        <w:jc w:val="both"/>
      </w:pPr>
      <w:r>
        <w:rPr/>
        <w:t>The executive director of the board, or his or her designee.</w:t>
      </w:r>
    </w:p>
    <w:p>
      <w:pPr>
        <w:pStyle w:val="Heading5"/>
        <w:numPr>
          <w:ilvl w:val="0"/>
          <w:numId w:val="21"/>
        </w:numPr>
        <w:tabs>
          <w:tab w:pos="2131" w:val="left" w:leader="none"/>
        </w:tabs>
        <w:spacing w:line="316" w:lineRule="auto" w:before="4" w:after="0"/>
        <w:ind w:left="820" w:right="696" w:firstLine="720"/>
        <w:jc w:val="both"/>
      </w:pPr>
      <w:r>
        <w:rPr/>
        <w:t>The advisory council will meet at least three times per year</w:t>
      </w:r>
      <w:r>
        <w:rPr>
          <w:spacing w:val="-29"/>
        </w:rPr>
        <w:t> </w:t>
      </w:r>
      <w:r>
        <w:rPr/>
        <w:t>when</w:t>
      </w:r>
      <w:r>
        <w:rPr>
          <w:spacing w:val="-28"/>
        </w:rPr>
        <w:t> </w:t>
      </w:r>
      <w:r>
        <w:rPr/>
        <w:t>the</w:t>
      </w:r>
      <w:r>
        <w:rPr>
          <w:spacing w:val="-29"/>
        </w:rPr>
        <w:t> </w:t>
      </w:r>
      <w:r>
        <w:rPr/>
        <w:t>legislature</w:t>
      </w:r>
      <w:r>
        <w:rPr>
          <w:spacing w:val="-28"/>
        </w:rPr>
        <w:t> </w:t>
      </w:r>
      <w:r>
        <w:rPr/>
        <w:t>is</w:t>
      </w:r>
      <w:r>
        <w:rPr>
          <w:spacing w:val="-29"/>
        </w:rPr>
        <w:t> </w:t>
      </w:r>
      <w:r>
        <w:rPr/>
        <w:t>not</w:t>
      </w:r>
      <w:r>
        <w:rPr>
          <w:spacing w:val="-28"/>
        </w:rPr>
        <w:t> </w:t>
      </w:r>
      <w:r>
        <w:rPr/>
        <w:t>in</w:t>
      </w:r>
      <w:r>
        <w:rPr>
          <w:spacing w:val="-29"/>
        </w:rPr>
        <w:t> </w:t>
      </w:r>
      <w:r>
        <w:rPr/>
        <w:t>session,</w:t>
      </w:r>
      <w:r>
        <w:rPr>
          <w:spacing w:val="-26"/>
        </w:rPr>
        <w:t> </w:t>
      </w:r>
      <w:r>
        <w:rPr/>
        <w:t>in</w:t>
      </w:r>
      <w:r>
        <w:rPr>
          <w:spacing w:val="-29"/>
        </w:rPr>
        <w:t> </w:t>
      </w:r>
      <w:r>
        <w:rPr/>
        <w:t>a</w:t>
      </w:r>
      <w:r>
        <w:rPr>
          <w:spacing w:val="-28"/>
        </w:rPr>
        <w:t> </w:t>
      </w:r>
      <w:r>
        <w:rPr/>
        <w:t>forum</w:t>
      </w:r>
      <w:r>
        <w:rPr>
          <w:spacing w:val="-28"/>
        </w:rPr>
        <w:t> </w:t>
      </w:r>
      <w:r>
        <w:rPr/>
        <w:t>that</w:t>
      </w:r>
      <w:r>
        <w:rPr>
          <w:spacing w:val="-29"/>
        </w:rPr>
        <w:t> </w:t>
      </w:r>
      <w:r>
        <w:rPr/>
        <w:t>offers both in-person and remote participation where everyone can hear and be</w:t>
      </w:r>
      <w:r>
        <w:rPr>
          <w:spacing w:val="-3"/>
        </w:rPr>
        <w:t> </w:t>
      </w:r>
      <w:r>
        <w:rPr/>
        <w:t>heard.</w:t>
      </w:r>
    </w:p>
    <w:p>
      <w:pPr>
        <w:pStyle w:val="Heading5"/>
        <w:numPr>
          <w:ilvl w:val="0"/>
          <w:numId w:val="21"/>
        </w:numPr>
        <w:tabs>
          <w:tab w:pos="2117" w:val="left" w:leader="none"/>
        </w:tabs>
        <w:spacing w:line="240" w:lineRule="auto" w:before="2" w:after="0"/>
        <w:ind w:left="2116" w:right="0" w:hanging="576"/>
        <w:jc w:val="left"/>
      </w:pPr>
      <w:r>
        <w:rPr/>
        <w:t>The advisory council will have the responsibility</w:t>
      </w:r>
      <w:r>
        <w:rPr>
          <w:spacing w:val="-21"/>
        </w:rPr>
        <w:t> </w:t>
      </w:r>
      <w:r>
        <w:rPr/>
        <w:t>to:</w:t>
      </w:r>
    </w:p>
    <w:p>
      <w:pPr>
        <w:pStyle w:val="Heading5"/>
        <w:numPr>
          <w:ilvl w:val="0"/>
          <w:numId w:val="22"/>
        </w:numPr>
        <w:tabs>
          <w:tab w:pos="2179" w:val="left" w:leader="none"/>
        </w:tabs>
        <w:spacing w:line="316" w:lineRule="auto" w:before="93" w:after="0"/>
        <w:ind w:left="820" w:right="696" w:firstLine="720"/>
        <w:jc w:val="both"/>
      </w:pPr>
      <w:r>
        <w:rPr/>
        <w:t>Adopt the biennial Indian health improvement advisory plan prepared and amended by the reinvestment committee as described in section 4 no later than November 1st of each odd- numbered</w:t>
      </w:r>
      <w:r>
        <w:rPr>
          <w:spacing w:val="-2"/>
        </w:rPr>
        <w:t> </w:t>
      </w:r>
      <w:r>
        <w:rPr/>
        <w:t>year;</w:t>
      </w:r>
    </w:p>
    <w:p>
      <w:pPr>
        <w:pStyle w:val="Heading5"/>
        <w:numPr>
          <w:ilvl w:val="0"/>
          <w:numId w:val="22"/>
        </w:numPr>
        <w:tabs>
          <w:tab w:pos="2100" w:val="left" w:leader="none"/>
        </w:tabs>
        <w:spacing w:line="316" w:lineRule="auto" w:before="6" w:after="0"/>
        <w:ind w:left="820" w:right="699" w:firstLine="720"/>
        <w:jc w:val="both"/>
      </w:pPr>
      <w:r>
        <w:rPr/>
        <w:t>Address</w:t>
      </w:r>
      <w:r>
        <w:rPr>
          <w:spacing w:val="-22"/>
        </w:rPr>
        <w:t> </w:t>
      </w:r>
      <w:r>
        <w:rPr/>
        <w:t>current</w:t>
      </w:r>
      <w:r>
        <w:rPr>
          <w:spacing w:val="-21"/>
        </w:rPr>
        <w:t> </w:t>
      </w:r>
      <w:r>
        <w:rPr/>
        <w:t>or</w:t>
      </w:r>
      <w:r>
        <w:rPr>
          <w:spacing w:val="-21"/>
        </w:rPr>
        <w:t> </w:t>
      </w:r>
      <w:r>
        <w:rPr/>
        <w:t>proposed</w:t>
      </w:r>
      <w:r>
        <w:rPr>
          <w:spacing w:val="-21"/>
        </w:rPr>
        <w:t> </w:t>
      </w:r>
      <w:r>
        <w:rPr/>
        <w:t>policies</w:t>
      </w:r>
      <w:r>
        <w:rPr>
          <w:spacing w:val="-21"/>
        </w:rPr>
        <w:t> </w:t>
      </w:r>
      <w:r>
        <w:rPr/>
        <w:t>or</w:t>
      </w:r>
      <w:r>
        <w:rPr>
          <w:spacing w:val="-22"/>
        </w:rPr>
        <w:t> </w:t>
      </w:r>
      <w:r>
        <w:rPr/>
        <w:t>actions</w:t>
      </w:r>
      <w:r>
        <w:rPr>
          <w:spacing w:val="-19"/>
        </w:rPr>
        <w:t> </w:t>
      </w:r>
      <w:r>
        <w:rPr/>
        <w:t>that</w:t>
      </w:r>
      <w:r>
        <w:rPr>
          <w:spacing w:val="-21"/>
        </w:rPr>
        <w:t> </w:t>
      </w:r>
      <w:r>
        <w:rPr/>
        <w:t>have tribal implications and are not able to be resolved or addressed at the agency</w:t>
      </w:r>
      <w:r>
        <w:rPr>
          <w:spacing w:val="-4"/>
        </w:rPr>
        <w:t> </w:t>
      </w:r>
      <w:r>
        <w:rPr/>
        <w:t>level;</w:t>
      </w:r>
    </w:p>
    <w:p>
      <w:pPr>
        <w:pStyle w:val="Heading5"/>
        <w:numPr>
          <w:ilvl w:val="0"/>
          <w:numId w:val="22"/>
        </w:numPr>
        <w:tabs>
          <w:tab w:pos="2165" w:val="left" w:leader="none"/>
        </w:tabs>
        <w:spacing w:line="316" w:lineRule="auto" w:before="5" w:after="0"/>
        <w:ind w:left="820" w:right="695" w:firstLine="720"/>
        <w:jc w:val="both"/>
      </w:pPr>
      <w:r>
        <w:rPr/>
        <w:t>Facilitate better understanding among advisory council members and their support staff of the Indian health system, American Indian and Alaska Native health disparities and historical trauma, and tribal sovereignty and</w:t>
      </w:r>
      <w:r>
        <w:rPr>
          <w:spacing w:val="-35"/>
        </w:rPr>
        <w:t> </w:t>
      </w:r>
      <w:r>
        <w:rPr/>
        <w:t>self-governance;</w:t>
      </w:r>
    </w:p>
    <w:p>
      <w:pPr>
        <w:pStyle w:val="Heading5"/>
        <w:numPr>
          <w:ilvl w:val="0"/>
          <w:numId w:val="22"/>
        </w:numPr>
        <w:tabs>
          <w:tab w:pos="2220" w:val="left" w:leader="none"/>
        </w:tabs>
        <w:spacing w:line="316" w:lineRule="auto" w:before="5" w:after="0"/>
        <w:ind w:left="820" w:right="697" w:firstLine="720"/>
        <w:jc w:val="both"/>
      </w:pPr>
      <w:r>
        <w:rPr/>
        <w:t>Provide oversight of contracting and performance of service</w:t>
      </w:r>
      <w:r>
        <w:rPr>
          <w:spacing w:val="-33"/>
        </w:rPr>
        <w:t> </w:t>
      </w:r>
      <w:r>
        <w:rPr/>
        <w:t>coordination</w:t>
      </w:r>
      <w:r>
        <w:rPr>
          <w:spacing w:val="-33"/>
        </w:rPr>
        <w:t> </w:t>
      </w:r>
      <w:r>
        <w:rPr/>
        <w:t>organizations</w:t>
      </w:r>
      <w:r>
        <w:rPr>
          <w:spacing w:val="-33"/>
        </w:rPr>
        <w:t> </w:t>
      </w:r>
      <w:r>
        <w:rPr/>
        <w:t>or</w:t>
      </w:r>
      <w:r>
        <w:rPr>
          <w:spacing w:val="-34"/>
        </w:rPr>
        <w:t> </w:t>
      </w:r>
      <w:r>
        <w:rPr/>
        <w:t>service</w:t>
      </w:r>
      <w:r>
        <w:rPr>
          <w:spacing w:val="-33"/>
        </w:rPr>
        <w:t> </w:t>
      </w:r>
      <w:r>
        <w:rPr/>
        <w:t>contracting</w:t>
      </w:r>
      <w:r>
        <w:rPr>
          <w:spacing w:val="-33"/>
        </w:rPr>
        <w:t> </w:t>
      </w:r>
      <w:r>
        <w:rPr/>
        <w:t>entities as defined in RCW 70.320.010 in order to address their impacts</w:t>
      </w:r>
      <w:r>
        <w:rPr>
          <w:spacing w:val="-53"/>
        </w:rPr>
        <w:t> </w:t>
      </w:r>
      <w:r>
        <w:rPr/>
        <w:t>on services to American Indians and Alaska Natives and</w:t>
      </w:r>
      <w:r>
        <w:rPr>
          <w:spacing w:val="-55"/>
        </w:rPr>
        <w:t> </w:t>
      </w:r>
      <w:r>
        <w:rPr/>
        <w:t>relationships with Indian health care providers;</w:t>
      </w:r>
      <w:r>
        <w:rPr>
          <w:spacing w:val="-10"/>
        </w:rPr>
        <w:t> </w:t>
      </w:r>
      <w:r>
        <w:rPr/>
        <w:t>and</w:t>
      </w:r>
    </w:p>
    <w:p>
      <w:pPr>
        <w:pStyle w:val="Heading5"/>
        <w:numPr>
          <w:ilvl w:val="0"/>
          <w:numId w:val="22"/>
        </w:numPr>
        <w:tabs>
          <w:tab w:pos="2239" w:val="left" w:leader="none"/>
        </w:tabs>
        <w:spacing w:line="316" w:lineRule="auto" w:before="6" w:after="0"/>
        <w:ind w:left="820" w:right="695" w:firstLine="720"/>
        <w:jc w:val="both"/>
      </w:pPr>
      <w:r>
        <w:rPr/>
        <w:t>Provide oversight of the Indian health improvement reinvestment account established in section 5 of this chapter, ensuring that amounts expended from the reinvestment account are consistent with the advisory plan adopted under section 4 of this chapter.</w:t>
      </w:r>
    </w:p>
    <w:p>
      <w:pPr>
        <w:pStyle w:val="Heading5"/>
        <w:numPr>
          <w:ilvl w:val="0"/>
          <w:numId w:val="21"/>
        </w:numPr>
        <w:tabs>
          <w:tab w:pos="2189" w:val="left" w:leader="none"/>
        </w:tabs>
        <w:spacing w:line="316" w:lineRule="auto" w:before="6" w:after="0"/>
        <w:ind w:left="820" w:right="700" w:firstLine="742"/>
        <w:jc w:val="both"/>
      </w:pPr>
      <w:r>
        <w:rPr/>
        <w:t>The reinvestment committee of the advisory council is established, consisting of the following members of the advisory council:</w:t>
      </w:r>
    </w:p>
    <w:p>
      <w:pPr>
        <w:spacing w:after="0" w:line="316" w:lineRule="auto"/>
        <w:jc w:val="both"/>
        <w:sectPr>
          <w:pgSz w:w="12240" w:h="15840"/>
          <w:pgMar w:header="0" w:footer="1277" w:top="1360" w:bottom="1540" w:left="620" w:right="740"/>
        </w:sectPr>
      </w:pPr>
    </w:p>
    <w:p>
      <w:pPr>
        <w:pStyle w:val="Heading5"/>
        <w:numPr>
          <w:ilvl w:val="1"/>
          <w:numId w:val="21"/>
        </w:numPr>
        <w:tabs>
          <w:tab w:pos="2153" w:val="left" w:leader="none"/>
        </w:tabs>
        <w:spacing w:line="316" w:lineRule="auto" w:before="89" w:after="0"/>
        <w:ind w:left="820" w:right="695" w:firstLine="742"/>
        <w:jc w:val="both"/>
      </w:pPr>
      <w:r>
        <w:rPr/>
        <w:t>With voting rights on the reinvestment committee, every advisory council member who represents a tribe or an urban Indian organization;</w:t>
      </w:r>
      <w:r>
        <w:rPr>
          <w:spacing w:val="-2"/>
        </w:rPr>
        <w:t> </w:t>
      </w:r>
      <w:r>
        <w:rPr/>
        <w:t>and</w:t>
      </w:r>
    </w:p>
    <w:p>
      <w:pPr>
        <w:pStyle w:val="Heading5"/>
        <w:numPr>
          <w:ilvl w:val="1"/>
          <w:numId w:val="21"/>
        </w:numPr>
        <w:tabs>
          <w:tab w:pos="2196" w:val="left" w:leader="none"/>
        </w:tabs>
        <w:spacing w:line="316" w:lineRule="auto" w:before="6" w:after="0"/>
        <w:ind w:left="820" w:right="696" w:firstLine="742"/>
        <w:jc w:val="both"/>
      </w:pPr>
      <w:r>
        <w:rPr/>
        <w:t>With non-voting rights on the reinvestment committee, every advisory council member who represents a state agency, the Indian health service area office or a service unit, the commission, and the</w:t>
      </w:r>
      <w:r>
        <w:rPr>
          <w:spacing w:val="-5"/>
        </w:rPr>
        <w:t> </w:t>
      </w:r>
      <w:r>
        <w:rPr/>
        <w:t>board.</w:t>
      </w:r>
    </w:p>
    <w:p>
      <w:pPr>
        <w:pStyle w:val="Heading5"/>
        <w:numPr>
          <w:ilvl w:val="0"/>
          <w:numId w:val="21"/>
        </w:numPr>
        <w:tabs>
          <w:tab w:pos="2237" w:val="left" w:leader="none"/>
        </w:tabs>
        <w:spacing w:line="316" w:lineRule="auto" w:before="4" w:after="0"/>
        <w:ind w:left="820" w:right="697" w:firstLine="742"/>
        <w:jc w:val="both"/>
      </w:pPr>
      <w:r>
        <w:rPr/>
        <w:t>The advisory council may appoint technical advisory committees, which may include members of the advisory council,</w:t>
      </w:r>
      <w:r>
        <w:rPr>
          <w:spacing w:val="-54"/>
        </w:rPr>
        <w:t> </w:t>
      </w:r>
      <w:r>
        <w:rPr/>
        <w:t>as needed to address specific issues and</w:t>
      </w:r>
      <w:r>
        <w:rPr>
          <w:spacing w:val="-15"/>
        </w:rPr>
        <w:t> </w:t>
      </w:r>
      <w:r>
        <w:rPr/>
        <w:t>concerns.</w:t>
      </w:r>
    </w:p>
    <w:p>
      <w:pPr>
        <w:pStyle w:val="Heading5"/>
        <w:numPr>
          <w:ilvl w:val="0"/>
          <w:numId w:val="21"/>
        </w:numPr>
        <w:tabs>
          <w:tab w:pos="2136" w:val="left" w:leader="none"/>
        </w:tabs>
        <w:spacing w:line="316" w:lineRule="auto" w:before="4" w:after="0"/>
        <w:ind w:left="820" w:right="696" w:firstLine="742"/>
        <w:jc w:val="both"/>
      </w:pPr>
      <w:r>
        <w:rPr/>
        <w:t>The authority, in conjunction with the represented</w:t>
      </w:r>
      <w:r>
        <w:rPr>
          <w:spacing w:val="-62"/>
        </w:rPr>
        <w:t> </w:t>
      </w:r>
      <w:r>
        <w:rPr/>
        <w:t>state agencies on the advisory council, shall supply such information and assistance as are deemed necessary for the advisory council and its committees to carry out its duties under this</w:t>
      </w:r>
      <w:r>
        <w:rPr>
          <w:spacing w:val="-41"/>
        </w:rPr>
        <w:t> </w:t>
      </w:r>
      <w:r>
        <w:rPr/>
        <w:t>section.</w:t>
      </w:r>
    </w:p>
    <w:p>
      <w:pPr>
        <w:pStyle w:val="Heading5"/>
        <w:numPr>
          <w:ilvl w:val="0"/>
          <w:numId w:val="21"/>
        </w:numPr>
        <w:tabs>
          <w:tab w:pos="2258" w:val="left" w:leader="none"/>
        </w:tabs>
        <w:spacing w:line="316" w:lineRule="auto" w:before="5" w:after="0"/>
        <w:ind w:left="820" w:right="696" w:firstLine="742"/>
        <w:jc w:val="both"/>
      </w:pPr>
      <w:r>
        <w:rPr/>
        <w:t>The authority shall provide (a) administrative and clerical</w:t>
      </w:r>
      <w:r>
        <w:rPr>
          <w:spacing w:val="-22"/>
        </w:rPr>
        <w:t> </w:t>
      </w:r>
      <w:r>
        <w:rPr/>
        <w:t>assistance</w:t>
      </w:r>
      <w:r>
        <w:rPr>
          <w:spacing w:val="-21"/>
        </w:rPr>
        <w:t> </w:t>
      </w:r>
      <w:r>
        <w:rPr/>
        <w:t>to</w:t>
      </w:r>
      <w:r>
        <w:rPr>
          <w:spacing w:val="-22"/>
        </w:rPr>
        <w:t> </w:t>
      </w:r>
      <w:r>
        <w:rPr/>
        <w:t>the</w:t>
      </w:r>
      <w:r>
        <w:rPr>
          <w:spacing w:val="-21"/>
        </w:rPr>
        <w:t> </w:t>
      </w:r>
      <w:r>
        <w:rPr/>
        <w:t>advisory</w:t>
      </w:r>
      <w:r>
        <w:rPr>
          <w:spacing w:val="-22"/>
        </w:rPr>
        <w:t> </w:t>
      </w:r>
      <w:r>
        <w:rPr/>
        <w:t>council</w:t>
      </w:r>
      <w:r>
        <w:rPr>
          <w:spacing w:val="-20"/>
        </w:rPr>
        <w:t> </w:t>
      </w:r>
      <w:r>
        <w:rPr/>
        <w:t>and</w:t>
      </w:r>
      <w:r>
        <w:rPr>
          <w:spacing w:val="-22"/>
        </w:rPr>
        <w:t> </w:t>
      </w:r>
      <w:r>
        <w:rPr/>
        <w:t>its</w:t>
      </w:r>
      <w:r>
        <w:rPr>
          <w:spacing w:val="-19"/>
        </w:rPr>
        <w:t> </w:t>
      </w:r>
      <w:r>
        <w:rPr/>
        <w:t>committees</w:t>
      </w:r>
      <w:r>
        <w:rPr>
          <w:spacing w:val="-21"/>
        </w:rPr>
        <w:t> </w:t>
      </w:r>
      <w:r>
        <w:rPr/>
        <w:t>and</w:t>
      </w:r>
    </w:p>
    <w:p>
      <w:pPr>
        <w:pStyle w:val="Heading5"/>
        <w:spacing w:before="0"/>
        <w:ind w:right="0" w:firstLine="0"/>
        <w:jc w:val="left"/>
      </w:pPr>
      <w:r>
        <w:rPr/>
        <w:t>(b) technical assistance with the assistance of the commission.</w:t>
      </w:r>
    </w:p>
    <w:p>
      <w:pPr>
        <w:pStyle w:val="Heading5"/>
        <w:numPr>
          <w:ilvl w:val="0"/>
          <w:numId w:val="21"/>
        </w:numPr>
        <w:tabs>
          <w:tab w:pos="2453" w:val="left" w:leader="none"/>
        </w:tabs>
        <w:spacing w:line="316" w:lineRule="auto" w:before="93" w:after="0"/>
        <w:ind w:left="820" w:right="696" w:firstLine="720"/>
        <w:jc w:val="both"/>
      </w:pPr>
      <w:r>
        <w:rPr/>
        <w:t>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w:t>
      </w:r>
      <w:r>
        <w:rPr>
          <w:spacing w:val="-11"/>
        </w:rPr>
        <w:t> </w:t>
      </w:r>
      <w:r>
        <w:rPr/>
        <w:t>law.</w:t>
      </w:r>
    </w:p>
    <w:p>
      <w:pPr>
        <w:pStyle w:val="BodyText"/>
        <w:spacing w:before="11"/>
        <w:rPr>
          <w:rFonts w:ascii="Courier New"/>
          <w:sz w:val="31"/>
        </w:rPr>
      </w:pPr>
    </w:p>
    <w:p>
      <w:pPr>
        <w:pStyle w:val="Heading5"/>
        <w:spacing w:line="316" w:lineRule="auto" w:before="0"/>
        <w:ind w:firstLine="741"/>
      </w:pPr>
      <w:r>
        <w:rPr>
          <w:u w:val="single"/>
        </w:rPr>
        <w:t>NEW SECTION.</w:t>
      </w:r>
      <w:r>
        <w:rPr/>
        <w:t> </w:t>
      </w:r>
      <w:r>
        <w:rPr>
          <w:b/>
        </w:rPr>
        <w:t>Sec. 4. </w:t>
      </w:r>
      <w:r>
        <w:rPr/>
        <w:t>(1) With assistance from the</w:t>
      </w:r>
      <w:r>
        <w:rPr>
          <w:spacing w:val="-64"/>
        </w:rPr>
        <w:t> </w:t>
      </w:r>
      <w:r>
        <w:rPr/>
        <w:t>authority, the</w:t>
      </w:r>
      <w:r>
        <w:rPr>
          <w:spacing w:val="-22"/>
        </w:rPr>
        <w:t> </w:t>
      </w:r>
      <w:r>
        <w:rPr/>
        <w:t>commission,</w:t>
      </w:r>
      <w:r>
        <w:rPr>
          <w:spacing w:val="-21"/>
        </w:rPr>
        <w:t> </w:t>
      </w:r>
      <w:r>
        <w:rPr/>
        <w:t>and</w:t>
      </w:r>
      <w:r>
        <w:rPr>
          <w:spacing w:val="-21"/>
        </w:rPr>
        <w:t> </w:t>
      </w:r>
      <w:r>
        <w:rPr/>
        <w:t>other</w:t>
      </w:r>
      <w:r>
        <w:rPr>
          <w:spacing w:val="-21"/>
        </w:rPr>
        <w:t> </w:t>
      </w:r>
      <w:r>
        <w:rPr/>
        <w:t>member</w:t>
      </w:r>
      <w:r>
        <w:rPr>
          <w:spacing w:val="-21"/>
        </w:rPr>
        <w:t> </w:t>
      </w:r>
      <w:r>
        <w:rPr/>
        <w:t>entities</w:t>
      </w:r>
      <w:r>
        <w:rPr>
          <w:spacing w:val="-21"/>
        </w:rPr>
        <w:t> </w:t>
      </w:r>
      <w:r>
        <w:rPr/>
        <w:t>of</w:t>
      </w:r>
      <w:r>
        <w:rPr>
          <w:spacing w:val="-22"/>
        </w:rPr>
        <w:t> </w:t>
      </w:r>
      <w:r>
        <w:rPr/>
        <w:t>the</w:t>
      </w:r>
      <w:r>
        <w:rPr>
          <w:spacing w:val="-21"/>
        </w:rPr>
        <w:t> </w:t>
      </w:r>
      <w:r>
        <w:rPr/>
        <w:t>advisory</w:t>
      </w:r>
      <w:r>
        <w:rPr>
          <w:spacing w:val="-21"/>
        </w:rPr>
        <w:t> </w:t>
      </w:r>
      <w:r>
        <w:rPr/>
        <w:t>council, the reinvestment committee of the advisory council will prepare and amend from time to time a biennial Indian health improvement advisory plan</w:t>
      </w:r>
      <w:r>
        <w:rPr>
          <w:spacing w:val="-1"/>
        </w:rPr>
        <w:t> </w:t>
      </w:r>
      <w:r>
        <w:rPr/>
        <w:t>to:</w:t>
      </w:r>
    </w:p>
    <w:p>
      <w:pPr>
        <w:pStyle w:val="Heading5"/>
        <w:numPr>
          <w:ilvl w:val="0"/>
          <w:numId w:val="23"/>
        </w:numPr>
        <w:tabs>
          <w:tab w:pos="2167" w:val="left" w:leader="none"/>
        </w:tabs>
        <w:spacing w:line="316" w:lineRule="auto" w:before="10" w:after="0"/>
        <w:ind w:left="820" w:right="695" w:firstLine="742"/>
        <w:jc w:val="both"/>
      </w:pPr>
      <w:r>
        <w:rPr/>
        <w:t>Raise the health status of American Indians and Alaska Natives</w:t>
      </w:r>
      <w:r>
        <w:rPr>
          <w:spacing w:val="-16"/>
        </w:rPr>
        <w:t> </w:t>
      </w:r>
      <w:r>
        <w:rPr/>
        <w:t>in</w:t>
      </w:r>
      <w:r>
        <w:rPr>
          <w:spacing w:val="-15"/>
        </w:rPr>
        <w:t> </w:t>
      </w:r>
      <w:r>
        <w:rPr/>
        <w:t>the</w:t>
      </w:r>
      <w:r>
        <w:rPr>
          <w:spacing w:val="-15"/>
        </w:rPr>
        <w:t> </w:t>
      </w:r>
      <w:r>
        <w:rPr/>
        <w:t>state</w:t>
      </w:r>
      <w:r>
        <w:rPr>
          <w:spacing w:val="-16"/>
        </w:rPr>
        <w:t> </w:t>
      </w:r>
      <w:r>
        <w:rPr/>
        <w:t>to</w:t>
      </w:r>
      <w:r>
        <w:rPr>
          <w:spacing w:val="-15"/>
        </w:rPr>
        <w:t> </w:t>
      </w:r>
      <w:r>
        <w:rPr/>
        <w:t>at</w:t>
      </w:r>
      <w:r>
        <w:rPr>
          <w:spacing w:val="-15"/>
        </w:rPr>
        <w:t> </w:t>
      </w:r>
      <w:r>
        <w:rPr/>
        <w:t>least</w:t>
      </w:r>
      <w:r>
        <w:rPr>
          <w:spacing w:val="-13"/>
        </w:rPr>
        <w:t> </w:t>
      </w:r>
      <w:r>
        <w:rPr/>
        <w:t>the</w:t>
      </w:r>
      <w:r>
        <w:rPr>
          <w:spacing w:val="-15"/>
        </w:rPr>
        <w:t> </w:t>
      </w:r>
      <w:r>
        <w:rPr/>
        <w:t>levels</w:t>
      </w:r>
      <w:r>
        <w:rPr>
          <w:spacing w:val="-15"/>
        </w:rPr>
        <w:t> </w:t>
      </w:r>
      <w:r>
        <w:rPr/>
        <w:t>set</w:t>
      </w:r>
      <w:r>
        <w:rPr>
          <w:spacing w:val="-16"/>
        </w:rPr>
        <w:t> </w:t>
      </w:r>
      <w:r>
        <w:rPr/>
        <w:t>forth</w:t>
      </w:r>
      <w:r>
        <w:rPr>
          <w:spacing w:val="-15"/>
        </w:rPr>
        <w:t> </w:t>
      </w:r>
      <w:r>
        <w:rPr/>
        <w:t>in</w:t>
      </w:r>
      <w:r>
        <w:rPr>
          <w:spacing w:val="-15"/>
        </w:rPr>
        <w:t> </w:t>
      </w:r>
      <w:r>
        <w:rPr/>
        <w:t>the</w:t>
      </w:r>
      <w:r>
        <w:rPr>
          <w:spacing w:val="-15"/>
        </w:rPr>
        <w:t> </w:t>
      </w:r>
      <w:r>
        <w:rPr/>
        <w:t>goals contained in the federal healthy people 2020 initiative or successor objectives;</w:t>
      </w:r>
      <w:r>
        <w:rPr>
          <w:spacing w:val="-3"/>
        </w:rPr>
        <w:t> </w:t>
      </w:r>
      <w:r>
        <w:rPr/>
        <w:t>or</w:t>
      </w:r>
    </w:p>
    <w:p>
      <w:pPr>
        <w:pStyle w:val="Heading5"/>
        <w:numPr>
          <w:ilvl w:val="0"/>
          <w:numId w:val="23"/>
        </w:numPr>
        <w:tabs>
          <w:tab w:pos="2167" w:val="left" w:leader="none"/>
        </w:tabs>
        <w:spacing w:line="316" w:lineRule="auto" w:before="8" w:after="0"/>
        <w:ind w:left="820" w:right="694" w:firstLine="742"/>
        <w:jc w:val="both"/>
      </w:pPr>
      <w:r>
        <w:rPr/>
        <w:t>Help the state, the Indian health service, tribes, and urban</w:t>
      </w:r>
      <w:r>
        <w:rPr>
          <w:spacing w:val="95"/>
        </w:rPr>
        <w:t> </w:t>
      </w:r>
      <w:r>
        <w:rPr/>
        <w:t>Indian</w:t>
      </w:r>
      <w:r>
        <w:rPr>
          <w:spacing w:val="97"/>
        </w:rPr>
        <w:t> </w:t>
      </w:r>
      <w:r>
        <w:rPr/>
        <w:t>organizations,</w:t>
      </w:r>
      <w:r>
        <w:rPr>
          <w:spacing w:val="96"/>
        </w:rPr>
        <w:t> </w:t>
      </w:r>
      <w:r>
        <w:rPr/>
        <w:t>statewide</w:t>
      </w:r>
      <w:r>
        <w:rPr>
          <w:spacing w:val="96"/>
        </w:rPr>
        <w:t> </w:t>
      </w:r>
      <w:r>
        <w:rPr/>
        <w:t>or</w:t>
      </w:r>
      <w:r>
        <w:rPr>
          <w:spacing w:val="95"/>
        </w:rPr>
        <w:t> </w:t>
      </w:r>
      <w:r>
        <w:rPr/>
        <w:t>in</w:t>
      </w:r>
      <w:r>
        <w:rPr>
          <w:spacing w:val="98"/>
        </w:rPr>
        <w:t> </w:t>
      </w:r>
      <w:r>
        <w:rPr/>
        <w:t>regions,</w:t>
      </w:r>
      <w:r>
        <w:rPr>
          <w:spacing w:val="96"/>
        </w:rPr>
        <w:t> </w:t>
      </w:r>
      <w:r>
        <w:rPr/>
        <w:t>improve</w:t>
      </w:r>
    </w:p>
    <w:p>
      <w:pPr>
        <w:spacing w:after="0" w:line="316" w:lineRule="auto"/>
        <w:jc w:val="both"/>
        <w:sectPr>
          <w:pgSz w:w="12240" w:h="15840"/>
          <w:pgMar w:header="0" w:footer="1277" w:top="1360" w:bottom="1540" w:left="620" w:right="740"/>
        </w:sectPr>
      </w:pPr>
    </w:p>
    <w:p>
      <w:pPr>
        <w:pStyle w:val="Heading5"/>
        <w:spacing w:line="316" w:lineRule="auto" w:before="89"/>
        <w:ind w:right="700" w:firstLine="0"/>
      </w:pPr>
      <w:r>
        <w:rPr/>
        <w:t>delivery systems for American Indians and Alaska Natives by increasing access to care, strengthening continuity of care, and improving population health through investments in capacity and infrastructure.</w:t>
      </w:r>
    </w:p>
    <w:p>
      <w:pPr>
        <w:pStyle w:val="Heading5"/>
        <w:spacing w:before="2"/>
        <w:ind w:left="1540" w:right="0" w:firstLine="0"/>
        <w:jc w:val="left"/>
      </w:pPr>
      <w:r>
        <w:rPr/>
        <w:t>(2) The advisory plan will include the following:</w:t>
      </w:r>
    </w:p>
    <w:p>
      <w:pPr>
        <w:pStyle w:val="Heading5"/>
        <w:numPr>
          <w:ilvl w:val="0"/>
          <w:numId w:val="24"/>
        </w:numPr>
        <w:tabs>
          <w:tab w:pos="2117" w:val="left" w:leader="none"/>
        </w:tabs>
        <w:spacing w:line="316" w:lineRule="auto" w:before="93" w:after="0"/>
        <w:ind w:left="820" w:right="698" w:firstLine="720"/>
        <w:jc w:val="both"/>
      </w:pPr>
      <w:r>
        <w:rPr/>
        <w:t>An assessment of Indian health and Indian health care</w:t>
      </w:r>
      <w:r>
        <w:rPr>
          <w:spacing w:val="-46"/>
        </w:rPr>
        <w:t> </w:t>
      </w:r>
      <w:r>
        <w:rPr/>
        <w:t>in the state;</w:t>
      </w:r>
      <w:r>
        <w:rPr>
          <w:spacing w:val="-3"/>
        </w:rPr>
        <w:t> </w:t>
      </w:r>
      <w:r>
        <w:rPr/>
        <w:t>and</w:t>
      </w:r>
    </w:p>
    <w:p>
      <w:pPr>
        <w:pStyle w:val="Heading5"/>
        <w:numPr>
          <w:ilvl w:val="0"/>
          <w:numId w:val="24"/>
        </w:numPr>
        <w:tabs>
          <w:tab w:pos="2237" w:val="left" w:leader="none"/>
        </w:tabs>
        <w:spacing w:line="316" w:lineRule="auto" w:before="5" w:after="0"/>
        <w:ind w:left="820" w:right="696" w:firstLine="720"/>
        <w:jc w:val="both"/>
      </w:pPr>
      <w:r>
        <w:rPr/>
        <w:t>Specific recommendations for programs, projects, or activities, along with recommended reinvestment account expenditure amounts and priorities for expenditures, for the next two</w:t>
      </w:r>
      <w:r>
        <w:rPr>
          <w:spacing w:val="-26"/>
        </w:rPr>
        <w:t> </w:t>
      </w:r>
      <w:r>
        <w:rPr/>
        <w:t>state</w:t>
      </w:r>
      <w:r>
        <w:rPr>
          <w:spacing w:val="-25"/>
        </w:rPr>
        <w:t> </w:t>
      </w:r>
      <w:r>
        <w:rPr/>
        <w:t>fiscal</w:t>
      </w:r>
      <w:r>
        <w:rPr>
          <w:spacing w:val="-21"/>
        </w:rPr>
        <w:t> </w:t>
      </w:r>
      <w:r>
        <w:rPr/>
        <w:t>bienniums.</w:t>
      </w:r>
      <w:r>
        <w:rPr>
          <w:spacing w:val="-25"/>
        </w:rPr>
        <w:t> </w:t>
      </w:r>
      <w:r>
        <w:rPr/>
        <w:t>The</w:t>
      </w:r>
      <w:r>
        <w:rPr>
          <w:spacing w:val="-26"/>
        </w:rPr>
        <w:t> </w:t>
      </w:r>
      <w:r>
        <w:rPr/>
        <w:t>programs,</w:t>
      </w:r>
      <w:r>
        <w:rPr>
          <w:spacing w:val="-25"/>
        </w:rPr>
        <w:t> </w:t>
      </w:r>
      <w:r>
        <w:rPr/>
        <w:t>projects,</w:t>
      </w:r>
      <w:r>
        <w:rPr>
          <w:spacing w:val="-24"/>
        </w:rPr>
        <w:t> </w:t>
      </w:r>
      <w:r>
        <w:rPr/>
        <w:t>and</w:t>
      </w:r>
      <w:r>
        <w:rPr>
          <w:spacing w:val="-25"/>
        </w:rPr>
        <w:t> </w:t>
      </w:r>
      <w:r>
        <w:rPr/>
        <w:t>activities may include but are not limited</w:t>
      </w:r>
      <w:r>
        <w:rPr>
          <w:spacing w:val="-8"/>
        </w:rPr>
        <w:t> </w:t>
      </w:r>
      <w:r>
        <w:rPr/>
        <w:t>to:</w:t>
      </w:r>
    </w:p>
    <w:p>
      <w:pPr>
        <w:pStyle w:val="Heading5"/>
        <w:numPr>
          <w:ilvl w:val="0"/>
          <w:numId w:val="25"/>
        </w:numPr>
        <w:tabs>
          <w:tab w:pos="2289" w:val="left" w:leader="none"/>
        </w:tabs>
        <w:spacing w:line="316" w:lineRule="auto" w:before="6" w:after="0"/>
        <w:ind w:left="820" w:right="699" w:firstLine="720"/>
        <w:jc w:val="both"/>
      </w:pPr>
      <w:r>
        <w:rPr/>
        <w:t>Tribally operated facilities providing evaluation, treatment, and recovery services for opioid use disorder, other substance use disorders, mental illness, or specialty</w:t>
      </w:r>
      <w:r>
        <w:rPr>
          <w:spacing w:val="-30"/>
        </w:rPr>
        <w:t> </w:t>
      </w:r>
      <w:r>
        <w:rPr/>
        <w:t>care;</w:t>
      </w:r>
    </w:p>
    <w:p>
      <w:pPr>
        <w:pStyle w:val="Heading5"/>
        <w:numPr>
          <w:ilvl w:val="0"/>
          <w:numId w:val="25"/>
        </w:numPr>
        <w:tabs>
          <w:tab w:pos="2261" w:val="left" w:leader="none"/>
        </w:tabs>
        <w:spacing w:line="316" w:lineRule="auto" w:before="6" w:after="0"/>
        <w:ind w:left="820" w:right="698" w:firstLine="720"/>
        <w:jc w:val="both"/>
      </w:pPr>
      <w:r>
        <w:rPr/>
        <w:t>Increased access to quality, culturally appropriate, trauma-informed specialty services, including adult and</w:t>
      </w:r>
      <w:r>
        <w:rPr>
          <w:spacing w:val="-56"/>
        </w:rPr>
        <w:t> </w:t>
      </w:r>
      <w:r>
        <w:rPr/>
        <w:t>pediatric psychiatric services, medication consultation, and addiction or geriatric</w:t>
      </w:r>
      <w:r>
        <w:rPr>
          <w:spacing w:val="-2"/>
        </w:rPr>
        <w:t> </w:t>
      </w:r>
      <w:r>
        <w:rPr/>
        <w:t>psychiatry;</w:t>
      </w:r>
    </w:p>
    <w:p>
      <w:pPr>
        <w:pStyle w:val="Heading5"/>
        <w:numPr>
          <w:ilvl w:val="0"/>
          <w:numId w:val="25"/>
        </w:numPr>
        <w:tabs>
          <w:tab w:pos="2573" w:val="left" w:leader="none"/>
        </w:tabs>
        <w:spacing w:line="316" w:lineRule="auto" w:before="4" w:after="0"/>
        <w:ind w:left="820" w:right="698" w:firstLine="720"/>
        <w:jc w:val="both"/>
      </w:pPr>
      <w:r>
        <w:rPr/>
        <w:t>A third-party administrative entity to provide, arrange, and make payment for services for American Indians and Alaska</w:t>
      </w:r>
      <w:r>
        <w:rPr>
          <w:spacing w:val="-2"/>
        </w:rPr>
        <w:t> </w:t>
      </w:r>
      <w:r>
        <w:rPr/>
        <w:t>Natives;</w:t>
      </w:r>
    </w:p>
    <w:p>
      <w:pPr>
        <w:pStyle w:val="Heading5"/>
        <w:numPr>
          <w:ilvl w:val="0"/>
          <w:numId w:val="25"/>
        </w:numPr>
        <w:tabs>
          <w:tab w:pos="2357" w:val="left" w:leader="none"/>
        </w:tabs>
        <w:spacing w:line="316" w:lineRule="auto" w:before="4" w:after="0"/>
        <w:ind w:left="820" w:right="699" w:firstLine="720"/>
        <w:jc w:val="both"/>
      </w:pPr>
      <w:r>
        <w:rPr/>
        <w:t>Expansion of suicide prevention services, including culture-based programming, to instill and fortify cultural practices as a protective</w:t>
      </w:r>
      <w:r>
        <w:rPr>
          <w:spacing w:val="-7"/>
        </w:rPr>
        <w:t> </w:t>
      </w:r>
      <w:r>
        <w:rPr/>
        <w:t>factor;</w:t>
      </w:r>
    </w:p>
    <w:p>
      <w:pPr>
        <w:pStyle w:val="Heading5"/>
        <w:numPr>
          <w:ilvl w:val="0"/>
          <w:numId w:val="25"/>
        </w:numPr>
        <w:tabs>
          <w:tab w:pos="2117" w:val="left" w:leader="none"/>
        </w:tabs>
        <w:spacing w:line="240" w:lineRule="auto" w:before="3" w:after="0"/>
        <w:ind w:left="2116" w:right="0" w:hanging="576"/>
        <w:jc w:val="left"/>
      </w:pPr>
      <w:r>
        <w:rPr/>
        <w:t>Expansion of traditional healing</w:t>
      </w:r>
      <w:r>
        <w:rPr>
          <w:spacing w:val="-10"/>
        </w:rPr>
        <w:t> </w:t>
      </w:r>
      <w:r>
        <w:rPr/>
        <w:t>services;</w:t>
      </w:r>
    </w:p>
    <w:p>
      <w:pPr>
        <w:pStyle w:val="Heading5"/>
        <w:numPr>
          <w:ilvl w:val="0"/>
          <w:numId w:val="25"/>
        </w:numPr>
        <w:tabs>
          <w:tab w:pos="2426" w:val="left" w:leader="none"/>
        </w:tabs>
        <w:spacing w:line="316" w:lineRule="auto" w:before="93" w:after="0"/>
        <w:ind w:left="820" w:right="696" w:firstLine="720"/>
        <w:jc w:val="both"/>
      </w:pPr>
      <w:r>
        <w:rPr/>
        <w:t>Development of a community health aide program, including</w:t>
      </w:r>
      <w:r>
        <w:rPr>
          <w:spacing w:val="-38"/>
        </w:rPr>
        <w:t> </w:t>
      </w:r>
      <w:r>
        <w:rPr/>
        <w:t>a</w:t>
      </w:r>
      <w:r>
        <w:rPr>
          <w:spacing w:val="-37"/>
        </w:rPr>
        <w:t> </w:t>
      </w:r>
      <w:r>
        <w:rPr/>
        <w:t>community</w:t>
      </w:r>
      <w:r>
        <w:rPr>
          <w:spacing w:val="-38"/>
        </w:rPr>
        <w:t> </w:t>
      </w:r>
      <w:r>
        <w:rPr/>
        <w:t>health</w:t>
      </w:r>
      <w:r>
        <w:rPr>
          <w:spacing w:val="-37"/>
        </w:rPr>
        <w:t> </w:t>
      </w:r>
      <w:r>
        <w:rPr/>
        <w:t>aide</w:t>
      </w:r>
      <w:r>
        <w:rPr>
          <w:spacing w:val="-39"/>
        </w:rPr>
        <w:t> </w:t>
      </w:r>
      <w:r>
        <w:rPr/>
        <w:t>certification</w:t>
      </w:r>
      <w:r>
        <w:rPr>
          <w:spacing w:val="-38"/>
        </w:rPr>
        <w:t> </w:t>
      </w:r>
      <w:r>
        <w:rPr/>
        <w:t>board</w:t>
      </w:r>
      <w:r>
        <w:rPr>
          <w:spacing w:val="-37"/>
        </w:rPr>
        <w:t> </w:t>
      </w:r>
      <w:r>
        <w:rPr/>
        <w:t>for</w:t>
      </w:r>
      <w:r>
        <w:rPr>
          <w:spacing w:val="-37"/>
        </w:rPr>
        <w:t> </w:t>
      </w:r>
      <w:r>
        <w:rPr/>
        <w:t>the</w:t>
      </w:r>
      <w:r>
        <w:rPr>
          <w:spacing w:val="-38"/>
        </w:rPr>
        <w:t> </w:t>
      </w:r>
      <w:r>
        <w:rPr/>
        <w:t>state consistent with 25 U.S.C. Sec. 1616l, and support for community health aide</w:t>
      </w:r>
      <w:r>
        <w:rPr>
          <w:spacing w:val="-3"/>
        </w:rPr>
        <w:t> </w:t>
      </w:r>
      <w:r>
        <w:rPr/>
        <w:t>services;</w:t>
      </w:r>
    </w:p>
    <w:p>
      <w:pPr>
        <w:pStyle w:val="Heading5"/>
        <w:numPr>
          <w:ilvl w:val="0"/>
          <w:numId w:val="25"/>
        </w:numPr>
        <w:tabs>
          <w:tab w:pos="2405" w:val="left" w:leader="none"/>
        </w:tabs>
        <w:spacing w:line="316" w:lineRule="auto" w:before="5" w:after="0"/>
        <w:ind w:left="820" w:right="697" w:firstLine="720"/>
        <w:jc w:val="both"/>
      </w:pPr>
      <w:r>
        <w:rPr/>
        <w:t>Health information technology capability within</w:t>
      </w:r>
      <w:r>
        <w:rPr>
          <w:spacing w:val="-47"/>
        </w:rPr>
        <w:t> </w:t>
      </w:r>
      <w:r>
        <w:rPr/>
        <w:t>tribes and urban Indian organizations to assure the</w:t>
      </w:r>
      <w:r>
        <w:rPr>
          <w:spacing w:val="96"/>
        </w:rPr>
        <w:t> </w:t>
      </w:r>
      <w:r>
        <w:rPr/>
        <w:t>technological capacity to: (A) Produce sound evidence for Indian health care provider best practices; (B) effectively coordinate care between Indian</w:t>
      </w:r>
      <w:r>
        <w:rPr>
          <w:spacing w:val="-25"/>
        </w:rPr>
        <w:t> </w:t>
      </w:r>
      <w:r>
        <w:rPr/>
        <w:t>health</w:t>
      </w:r>
      <w:r>
        <w:rPr>
          <w:spacing w:val="-25"/>
        </w:rPr>
        <w:t> </w:t>
      </w:r>
      <w:r>
        <w:rPr/>
        <w:t>care</w:t>
      </w:r>
      <w:r>
        <w:rPr>
          <w:spacing w:val="-25"/>
        </w:rPr>
        <w:t> </w:t>
      </w:r>
      <w:r>
        <w:rPr/>
        <w:t>providers</w:t>
      </w:r>
      <w:r>
        <w:rPr>
          <w:spacing w:val="-25"/>
        </w:rPr>
        <w:t> </w:t>
      </w:r>
      <w:r>
        <w:rPr/>
        <w:t>and</w:t>
      </w:r>
      <w:r>
        <w:rPr>
          <w:spacing w:val="-22"/>
        </w:rPr>
        <w:t> </w:t>
      </w:r>
      <w:r>
        <w:rPr/>
        <w:t>non-Indian</w:t>
      </w:r>
      <w:r>
        <w:rPr>
          <w:spacing w:val="-25"/>
        </w:rPr>
        <w:t> </w:t>
      </w:r>
      <w:r>
        <w:rPr/>
        <w:t>health</w:t>
      </w:r>
      <w:r>
        <w:rPr>
          <w:spacing w:val="-22"/>
        </w:rPr>
        <w:t> </w:t>
      </w:r>
      <w:r>
        <w:rPr/>
        <w:t>care</w:t>
      </w:r>
      <w:r>
        <w:rPr>
          <w:spacing w:val="-24"/>
        </w:rPr>
        <w:t> </w:t>
      </w:r>
      <w:r>
        <w:rPr/>
        <w:t>providers;</w:t>
      </w:r>
    </w:p>
    <w:p>
      <w:pPr>
        <w:spacing w:after="0" w:line="316" w:lineRule="auto"/>
        <w:jc w:val="both"/>
        <w:sectPr>
          <w:pgSz w:w="12240" w:h="15840"/>
          <w:pgMar w:header="0" w:footer="1277" w:top="1360" w:bottom="1540" w:left="620" w:right="740"/>
        </w:sectPr>
      </w:pPr>
    </w:p>
    <w:p>
      <w:pPr>
        <w:pStyle w:val="Heading5"/>
        <w:numPr>
          <w:ilvl w:val="0"/>
          <w:numId w:val="26"/>
        </w:numPr>
        <w:tabs>
          <w:tab w:pos="1378" w:val="left" w:leader="none"/>
        </w:tabs>
        <w:spacing w:line="319" w:lineRule="auto" w:before="89" w:after="0"/>
        <w:ind w:left="820" w:right="698" w:firstLine="0"/>
        <w:jc w:val="both"/>
      </w:pPr>
      <w:r>
        <w:rPr/>
        <w:t>provide</w:t>
      </w:r>
      <w:r>
        <w:rPr>
          <w:spacing w:val="-26"/>
        </w:rPr>
        <w:t> </w:t>
      </w:r>
      <w:r>
        <w:rPr/>
        <w:t>interoperability</w:t>
      </w:r>
      <w:r>
        <w:rPr>
          <w:spacing w:val="-27"/>
        </w:rPr>
        <w:t> </w:t>
      </w:r>
      <w:r>
        <w:rPr/>
        <w:t>with</w:t>
      </w:r>
      <w:r>
        <w:rPr>
          <w:spacing w:val="-23"/>
        </w:rPr>
        <w:t> </w:t>
      </w:r>
      <w:r>
        <w:rPr/>
        <w:t>state</w:t>
      </w:r>
      <w:r>
        <w:rPr>
          <w:spacing w:val="-26"/>
        </w:rPr>
        <w:t> </w:t>
      </w:r>
      <w:r>
        <w:rPr/>
        <w:t>claims</w:t>
      </w:r>
      <w:r>
        <w:rPr>
          <w:spacing w:val="-26"/>
        </w:rPr>
        <w:t> </w:t>
      </w:r>
      <w:r>
        <w:rPr/>
        <w:t>and</w:t>
      </w:r>
      <w:r>
        <w:rPr>
          <w:spacing w:val="-21"/>
        </w:rPr>
        <w:t> </w:t>
      </w:r>
      <w:r>
        <w:rPr/>
        <w:t>reportable</w:t>
      </w:r>
      <w:r>
        <w:rPr>
          <w:spacing w:val="-26"/>
        </w:rPr>
        <w:t> </w:t>
      </w:r>
      <w:r>
        <w:rPr/>
        <w:t>data systems, such as for immunizations and reportable conditions;</w:t>
      </w:r>
      <w:r>
        <w:rPr>
          <w:spacing w:val="-55"/>
        </w:rPr>
        <w:t> </w:t>
      </w:r>
      <w:r>
        <w:rPr/>
        <w:t>and</w:t>
      </w:r>
    </w:p>
    <w:p>
      <w:pPr>
        <w:pStyle w:val="Heading5"/>
        <w:numPr>
          <w:ilvl w:val="0"/>
          <w:numId w:val="26"/>
        </w:numPr>
        <w:tabs>
          <w:tab w:pos="1541" w:val="left" w:leader="none"/>
        </w:tabs>
        <w:spacing w:line="316" w:lineRule="auto" w:before="0" w:after="0"/>
        <w:ind w:left="820" w:right="697" w:firstLine="0"/>
        <w:jc w:val="both"/>
      </w:pPr>
      <w:r>
        <w:rPr/>
        <w:t>support patient-centered medical home models,</w:t>
      </w:r>
      <w:r>
        <w:rPr>
          <w:spacing w:val="99"/>
        </w:rPr>
        <w:t> </w:t>
      </w:r>
      <w:r>
        <w:rPr/>
        <w:t>including sufficient resources to purchase and implement certified electronic health record systems, such as hardware, software, training, and</w:t>
      </w:r>
      <w:r>
        <w:rPr>
          <w:spacing w:val="-3"/>
        </w:rPr>
        <w:t> </w:t>
      </w:r>
      <w:r>
        <w:rPr/>
        <w:t>staffing;</w:t>
      </w:r>
    </w:p>
    <w:p>
      <w:pPr>
        <w:pStyle w:val="Heading5"/>
        <w:numPr>
          <w:ilvl w:val="0"/>
          <w:numId w:val="25"/>
        </w:numPr>
        <w:tabs>
          <w:tab w:pos="2621" w:val="left" w:leader="none"/>
        </w:tabs>
        <w:spacing w:line="316" w:lineRule="auto" w:before="0" w:after="0"/>
        <w:ind w:left="820" w:right="697" w:firstLine="720"/>
        <w:jc w:val="both"/>
      </w:pPr>
      <w:r>
        <w:rPr/>
        <w:t>Support for care coordination by tribes and other Indian Health Care Providers to mitigate barriers to access to care for American Indians and Alaska Natives, with duties to include</w:t>
      </w:r>
      <w:r>
        <w:rPr>
          <w:spacing w:val="-33"/>
        </w:rPr>
        <w:t> </w:t>
      </w:r>
      <w:r>
        <w:rPr/>
        <w:t>without</w:t>
      </w:r>
      <w:r>
        <w:rPr>
          <w:spacing w:val="-33"/>
        </w:rPr>
        <w:t> </w:t>
      </w:r>
      <w:r>
        <w:rPr/>
        <w:t>limitation:</w:t>
      </w:r>
      <w:r>
        <w:rPr>
          <w:spacing w:val="-33"/>
        </w:rPr>
        <w:t> </w:t>
      </w:r>
      <w:r>
        <w:rPr/>
        <w:t>(A)Follow-up</w:t>
      </w:r>
      <w:r>
        <w:rPr>
          <w:spacing w:val="-33"/>
        </w:rPr>
        <w:t> </w:t>
      </w:r>
      <w:r>
        <w:rPr/>
        <w:t>of</w:t>
      </w:r>
      <w:r>
        <w:rPr>
          <w:spacing w:val="-33"/>
        </w:rPr>
        <w:t> </w:t>
      </w:r>
      <w:r>
        <w:rPr/>
        <w:t>referred</w:t>
      </w:r>
      <w:r>
        <w:rPr>
          <w:spacing w:val="-33"/>
        </w:rPr>
        <w:t> </w:t>
      </w:r>
      <w:r>
        <w:rPr/>
        <w:t>appointments;</w:t>
      </w:r>
    </w:p>
    <w:p>
      <w:pPr>
        <w:pStyle w:val="Heading5"/>
        <w:spacing w:line="316" w:lineRule="auto" w:before="2"/>
        <w:ind w:right="695" w:firstLine="0"/>
      </w:pPr>
      <w:r>
        <w:rPr/>
        <w:t>(B) routine follow-up care for management of chronic disease; (C) transportation; and (D) increasing patient understanding of provider instructions;</w:t>
      </w:r>
    </w:p>
    <w:p>
      <w:pPr>
        <w:pStyle w:val="Heading5"/>
        <w:numPr>
          <w:ilvl w:val="0"/>
          <w:numId w:val="25"/>
        </w:numPr>
        <w:tabs>
          <w:tab w:pos="2486" w:val="left" w:leader="none"/>
        </w:tabs>
        <w:spacing w:line="316" w:lineRule="auto" w:before="3" w:after="0"/>
        <w:ind w:left="820" w:right="700" w:firstLine="720"/>
        <w:jc w:val="both"/>
      </w:pPr>
      <w:r>
        <w:rPr/>
        <w:t>Expanded support for tribal and urban Indian epidemiology centers to create a system of</w:t>
      </w:r>
      <w:r>
        <w:rPr>
          <w:spacing w:val="94"/>
        </w:rPr>
        <w:t> </w:t>
      </w:r>
      <w:r>
        <w:rPr/>
        <w:t>epidemiological analysis that meets the needs of the state's American Indian and Alaska Native population;</w:t>
      </w:r>
      <w:r>
        <w:rPr>
          <w:spacing w:val="-5"/>
        </w:rPr>
        <w:t> </w:t>
      </w:r>
      <w:r>
        <w:rPr/>
        <w:t>and</w:t>
      </w:r>
    </w:p>
    <w:p>
      <w:pPr>
        <w:pStyle w:val="Heading5"/>
        <w:numPr>
          <w:ilvl w:val="0"/>
          <w:numId w:val="25"/>
        </w:numPr>
        <w:tabs>
          <w:tab w:pos="2169" w:val="left" w:leader="none"/>
        </w:tabs>
        <w:spacing w:line="316" w:lineRule="auto" w:before="7" w:after="0"/>
        <w:ind w:left="820" w:right="698" w:firstLine="720"/>
        <w:jc w:val="both"/>
      </w:pPr>
      <w:r>
        <w:rPr/>
        <w:t>Other health care services and public health services that</w:t>
      </w:r>
      <w:r>
        <w:rPr>
          <w:spacing w:val="-26"/>
        </w:rPr>
        <w:t> </w:t>
      </w:r>
      <w:r>
        <w:rPr/>
        <w:t>contribute</w:t>
      </w:r>
      <w:r>
        <w:rPr>
          <w:spacing w:val="-25"/>
        </w:rPr>
        <w:t> </w:t>
      </w:r>
      <w:r>
        <w:rPr/>
        <w:t>to</w:t>
      </w:r>
      <w:r>
        <w:rPr>
          <w:spacing w:val="-25"/>
        </w:rPr>
        <w:t> </w:t>
      </w:r>
      <w:r>
        <w:rPr/>
        <w:t>reducing</w:t>
      </w:r>
      <w:r>
        <w:rPr>
          <w:spacing w:val="-25"/>
        </w:rPr>
        <w:t> </w:t>
      </w:r>
      <w:r>
        <w:rPr/>
        <w:t>health</w:t>
      </w:r>
      <w:r>
        <w:rPr>
          <w:spacing w:val="-23"/>
        </w:rPr>
        <w:t> </w:t>
      </w:r>
      <w:r>
        <w:rPr/>
        <w:t>inequities</w:t>
      </w:r>
      <w:r>
        <w:rPr>
          <w:spacing w:val="-26"/>
        </w:rPr>
        <w:t> </w:t>
      </w:r>
      <w:r>
        <w:rPr/>
        <w:t>for</w:t>
      </w:r>
      <w:r>
        <w:rPr>
          <w:spacing w:val="-22"/>
        </w:rPr>
        <w:t> </w:t>
      </w:r>
      <w:r>
        <w:rPr/>
        <w:t>American</w:t>
      </w:r>
      <w:r>
        <w:rPr>
          <w:spacing w:val="-25"/>
        </w:rPr>
        <w:t> </w:t>
      </w:r>
      <w:r>
        <w:rPr/>
        <w:t>Indians and Alaska Natives in the state and increasing access to</w:t>
      </w:r>
      <w:r>
        <w:rPr>
          <w:spacing w:val="-54"/>
        </w:rPr>
        <w:t> </w:t>
      </w:r>
      <w:r>
        <w:rPr/>
        <w:t>quality, culturally</w:t>
      </w:r>
      <w:r>
        <w:rPr>
          <w:spacing w:val="-25"/>
        </w:rPr>
        <w:t> </w:t>
      </w:r>
      <w:r>
        <w:rPr/>
        <w:t>appropriate</w:t>
      </w:r>
      <w:r>
        <w:rPr>
          <w:spacing w:val="-25"/>
        </w:rPr>
        <w:t> </w:t>
      </w:r>
      <w:r>
        <w:rPr/>
        <w:t>health</w:t>
      </w:r>
      <w:r>
        <w:rPr>
          <w:spacing w:val="-25"/>
        </w:rPr>
        <w:t> </w:t>
      </w:r>
      <w:r>
        <w:rPr/>
        <w:t>care</w:t>
      </w:r>
      <w:r>
        <w:rPr>
          <w:spacing w:val="-23"/>
        </w:rPr>
        <w:t> </w:t>
      </w:r>
      <w:r>
        <w:rPr/>
        <w:t>for</w:t>
      </w:r>
      <w:r>
        <w:rPr>
          <w:spacing w:val="-25"/>
        </w:rPr>
        <w:t> </w:t>
      </w:r>
      <w:r>
        <w:rPr/>
        <w:t>American</w:t>
      </w:r>
      <w:r>
        <w:rPr>
          <w:spacing w:val="-25"/>
        </w:rPr>
        <w:t> </w:t>
      </w:r>
      <w:r>
        <w:rPr/>
        <w:t>Indians</w:t>
      </w:r>
      <w:r>
        <w:rPr>
          <w:spacing w:val="-24"/>
        </w:rPr>
        <w:t> </w:t>
      </w:r>
      <w:r>
        <w:rPr/>
        <w:t>and</w:t>
      </w:r>
      <w:r>
        <w:rPr>
          <w:spacing w:val="-25"/>
        </w:rPr>
        <w:t> </w:t>
      </w:r>
      <w:r>
        <w:rPr/>
        <w:t>Alaska Natives in the state;</w:t>
      </w:r>
      <w:r>
        <w:rPr>
          <w:spacing w:val="-6"/>
        </w:rPr>
        <w:t> </w:t>
      </w:r>
      <w:r>
        <w:rPr/>
        <w:t>and</w:t>
      </w:r>
    </w:p>
    <w:p>
      <w:pPr>
        <w:pStyle w:val="Heading5"/>
        <w:numPr>
          <w:ilvl w:val="0"/>
          <w:numId w:val="24"/>
        </w:numPr>
        <w:tabs>
          <w:tab w:pos="2119" w:val="left" w:leader="none"/>
        </w:tabs>
        <w:spacing w:line="316" w:lineRule="auto" w:before="4" w:after="0"/>
        <w:ind w:left="820" w:right="698" w:firstLine="742"/>
        <w:jc w:val="both"/>
      </w:pPr>
      <w:r>
        <w:rPr/>
        <w:t>Review</w:t>
      </w:r>
      <w:r>
        <w:rPr>
          <w:spacing w:val="-25"/>
        </w:rPr>
        <w:t> </w:t>
      </w:r>
      <w:r>
        <w:rPr/>
        <w:t>of</w:t>
      </w:r>
      <w:r>
        <w:rPr>
          <w:spacing w:val="-25"/>
        </w:rPr>
        <w:t> </w:t>
      </w:r>
      <w:r>
        <w:rPr/>
        <w:t>how</w:t>
      </w:r>
      <w:r>
        <w:rPr>
          <w:spacing w:val="-22"/>
        </w:rPr>
        <w:t> </w:t>
      </w:r>
      <w:r>
        <w:rPr/>
        <w:t>programs,</w:t>
      </w:r>
      <w:r>
        <w:rPr>
          <w:spacing w:val="-25"/>
        </w:rPr>
        <w:t> </w:t>
      </w:r>
      <w:r>
        <w:rPr/>
        <w:t>projects,</w:t>
      </w:r>
      <w:r>
        <w:rPr>
          <w:spacing w:val="-24"/>
        </w:rPr>
        <w:t> </w:t>
      </w:r>
      <w:r>
        <w:rPr/>
        <w:t>or</w:t>
      </w:r>
      <w:r>
        <w:rPr>
          <w:spacing w:val="-25"/>
        </w:rPr>
        <w:t> </w:t>
      </w:r>
      <w:r>
        <w:rPr/>
        <w:t>activities</w:t>
      </w:r>
      <w:r>
        <w:rPr>
          <w:spacing w:val="-22"/>
        </w:rPr>
        <w:t> </w:t>
      </w:r>
      <w:r>
        <w:rPr/>
        <w:t>that</w:t>
      </w:r>
      <w:r>
        <w:rPr>
          <w:spacing w:val="-25"/>
        </w:rPr>
        <w:t> </w:t>
      </w:r>
      <w:r>
        <w:rPr/>
        <w:t>have received investments from the reinvestment account have or have not achieved the objectives and</w:t>
      </w:r>
      <w:r>
        <w:rPr>
          <w:spacing w:val="-9"/>
        </w:rPr>
        <w:t> </w:t>
      </w:r>
      <w:r>
        <w:rPr/>
        <w:t>why.</w:t>
      </w:r>
    </w:p>
    <w:p>
      <w:pPr>
        <w:pStyle w:val="BodyText"/>
        <w:spacing w:before="9"/>
        <w:rPr>
          <w:rFonts w:ascii="Courier New"/>
          <w:sz w:val="31"/>
        </w:rPr>
      </w:pPr>
    </w:p>
    <w:p>
      <w:pPr>
        <w:pStyle w:val="Heading5"/>
        <w:spacing w:line="316" w:lineRule="auto" w:before="0"/>
        <w:ind w:right="694" w:firstLine="719"/>
      </w:pPr>
      <w:r>
        <w:rPr>
          <w:u w:val="single"/>
        </w:rPr>
        <w:t>NEW SECTION.</w:t>
      </w:r>
      <w:r>
        <w:rPr/>
        <w:t> </w:t>
      </w:r>
      <w:r>
        <w:rPr>
          <w:b/>
        </w:rPr>
        <w:t>Sec. 5. </w:t>
      </w:r>
      <w:r>
        <w:rPr/>
        <w:t>(1) There shall be a fund in the state treasury known as the Indian health improvement reinvestment account, which shall consist of all moneys appropriated and deposited under this chapter and any moneys appropriated to it by law. In order to maintain effective expenditure and revenue control, the reinvestment account is subject in all respects to chapter 43.88 RCW.</w:t>
      </w:r>
    </w:p>
    <w:p>
      <w:pPr>
        <w:spacing w:after="0" w:line="316" w:lineRule="auto"/>
        <w:sectPr>
          <w:pgSz w:w="12240" w:h="15840"/>
          <w:pgMar w:header="0" w:footer="1277" w:top="1360" w:bottom="1540" w:left="620" w:right="740"/>
        </w:sectPr>
      </w:pPr>
    </w:p>
    <w:p>
      <w:pPr>
        <w:pStyle w:val="Heading5"/>
        <w:numPr>
          <w:ilvl w:val="0"/>
          <w:numId w:val="27"/>
        </w:numPr>
        <w:tabs>
          <w:tab w:pos="2148" w:val="left" w:leader="none"/>
        </w:tabs>
        <w:spacing w:line="316" w:lineRule="auto" w:before="89" w:after="0"/>
        <w:ind w:left="820" w:right="695" w:firstLine="720"/>
        <w:jc w:val="both"/>
      </w:pPr>
      <w:r>
        <w:rPr/>
        <w:t>Moneys in the reinvestment account may not be expended for any purpose other than projects, programs, or activities identified in section</w:t>
      </w:r>
      <w:r>
        <w:rPr>
          <w:spacing w:val="-3"/>
        </w:rPr>
        <w:t> </w:t>
      </w:r>
      <w:r>
        <w:rPr/>
        <w:t>4.</w:t>
      </w:r>
    </w:p>
    <w:p>
      <w:pPr>
        <w:pStyle w:val="Heading5"/>
        <w:numPr>
          <w:ilvl w:val="0"/>
          <w:numId w:val="27"/>
        </w:numPr>
        <w:tabs>
          <w:tab w:pos="2117" w:val="left" w:leader="none"/>
        </w:tabs>
        <w:spacing w:line="316" w:lineRule="auto" w:before="6" w:after="0"/>
        <w:ind w:left="820" w:right="696" w:firstLine="720"/>
        <w:jc w:val="both"/>
      </w:pPr>
      <w:r>
        <w:rPr/>
        <w:t>Beginning July 1, 2019, the new state savings as defined in section 2(11) of this chapter, less the state’s administrative costs as agreed upon by the state and the reinvestment committee, are appropriated and directed for deposit into the reinvestment account.</w:t>
      </w:r>
      <w:r>
        <w:rPr>
          <w:spacing w:val="-22"/>
        </w:rPr>
        <w:t> </w:t>
      </w:r>
      <w:r>
        <w:rPr/>
        <w:t>With</w:t>
      </w:r>
      <w:r>
        <w:rPr>
          <w:spacing w:val="-21"/>
        </w:rPr>
        <w:t> </w:t>
      </w:r>
      <w:r>
        <w:rPr/>
        <w:t>advice</w:t>
      </w:r>
      <w:r>
        <w:rPr>
          <w:spacing w:val="-21"/>
        </w:rPr>
        <w:t> </w:t>
      </w:r>
      <w:r>
        <w:rPr/>
        <w:t>from</w:t>
      </w:r>
      <w:r>
        <w:rPr>
          <w:spacing w:val="-21"/>
        </w:rPr>
        <w:t> </w:t>
      </w:r>
      <w:r>
        <w:rPr/>
        <w:t>the</w:t>
      </w:r>
      <w:r>
        <w:rPr>
          <w:spacing w:val="-21"/>
        </w:rPr>
        <w:t> </w:t>
      </w:r>
      <w:r>
        <w:rPr/>
        <w:t>advisory</w:t>
      </w:r>
      <w:r>
        <w:rPr>
          <w:spacing w:val="-21"/>
        </w:rPr>
        <w:t> </w:t>
      </w:r>
      <w:r>
        <w:rPr/>
        <w:t>council,</w:t>
      </w:r>
      <w:r>
        <w:rPr>
          <w:spacing w:val="-21"/>
        </w:rPr>
        <w:t> </w:t>
      </w:r>
      <w:r>
        <w:rPr/>
        <w:t>the</w:t>
      </w:r>
      <w:r>
        <w:rPr>
          <w:spacing w:val="-19"/>
        </w:rPr>
        <w:t> </w:t>
      </w:r>
      <w:r>
        <w:rPr/>
        <w:t>authority</w:t>
      </w:r>
      <w:r>
        <w:rPr>
          <w:spacing w:val="-21"/>
        </w:rPr>
        <w:t> </w:t>
      </w:r>
      <w:r>
        <w:rPr/>
        <w:t>will develop a report and methodology to identify and track the new state</w:t>
      </w:r>
      <w:r>
        <w:rPr>
          <w:spacing w:val="-2"/>
        </w:rPr>
        <w:t> </w:t>
      </w:r>
      <w:r>
        <w:rPr/>
        <w:t>savings.</w:t>
      </w:r>
    </w:p>
    <w:p>
      <w:pPr>
        <w:pStyle w:val="Heading5"/>
        <w:numPr>
          <w:ilvl w:val="0"/>
          <w:numId w:val="27"/>
        </w:numPr>
        <w:tabs>
          <w:tab w:pos="2136" w:val="left" w:leader="none"/>
        </w:tabs>
        <w:spacing w:line="316" w:lineRule="auto" w:before="6" w:after="0"/>
        <w:ind w:left="820" w:right="696" w:firstLine="742"/>
        <w:jc w:val="both"/>
      </w:pPr>
      <w:r>
        <w:rPr/>
        <w:t>The authority will pursue new state savings for</w:t>
      </w:r>
      <w:r>
        <w:rPr>
          <w:spacing w:val="-61"/>
        </w:rPr>
        <w:t> </w:t>
      </w:r>
      <w:r>
        <w:rPr/>
        <w:t>medicaid managed care premiums on an actuarial basis and in consultation with</w:t>
      </w:r>
      <w:r>
        <w:rPr>
          <w:spacing w:val="-2"/>
        </w:rPr>
        <w:t> </w:t>
      </w:r>
      <w:r>
        <w:rPr/>
        <w:t>tribes.</w:t>
      </w:r>
    </w:p>
    <w:p>
      <w:pPr>
        <w:pStyle w:val="BodyText"/>
        <w:spacing w:before="4"/>
        <w:rPr>
          <w:rFonts w:ascii="Courier New"/>
          <w:sz w:val="26"/>
        </w:rPr>
      </w:pPr>
    </w:p>
    <w:p>
      <w:pPr>
        <w:pStyle w:val="Heading5"/>
        <w:spacing w:line="321" w:lineRule="auto" w:before="0"/>
        <w:ind w:right="699" w:firstLine="741"/>
      </w:pPr>
      <w:r>
        <w:rPr>
          <w:u w:val="single"/>
        </w:rPr>
        <w:t>NEW SECTION.</w:t>
      </w:r>
      <w:r>
        <w:rPr/>
        <w:t> </w:t>
      </w:r>
      <w:r>
        <w:rPr>
          <w:b/>
        </w:rPr>
        <w:t>Sec. 6. </w:t>
      </w:r>
      <w:r>
        <w:rPr/>
        <w:t>This chapter may be known and cited  as the “Washington Indian health improvement</w:t>
      </w:r>
      <w:r>
        <w:rPr>
          <w:spacing w:val="-17"/>
        </w:rPr>
        <w:t> </w:t>
      </w:r>
      <w:r>
        <w:rPr/>
        <w:t>act.”</w:t>
      </w:r>
    </w:p>
    <w:p>
      <w:pPr>
        <w:pStyle w:val="BodyText"/>
        <w:spacing w:before="4"/>
        <w:rPr>
          <w:rFonts w:ascii="Courier New"/>
          <w:sz w:val="26"/>
        </w:rPr>
      </w:pPr>
    </w:p>
    <w:p>
      <w:pPr>
        <w:pStyle w:val="Heading5"/>
        <w:tabs>
          <w:tab w:pos="2821" w:val="left" w:leader="none"/>
        </w:tabs>
        <w:spacing w:before="0"/>
        <w:ind w:left="1562" w:right="0" w:firstLine="0"/>
        <w:jc w:val="left"/>
      </w:pPr>
      <w:r>
        <w:rPr>
          <w:b/>
        </w:rPr>
        <w:t>Sec.</w:t>
      </w:r>
      <w:r>
        <w:rPr>
          <w:b/>
          <w:spacing w:val="-14"/>
        </w:rPr>
        <w:t> </w:t>
      </w:r>
      <w:r>
        <w:rPr>
          <w:b/>
        </w:rPr>
        <w:t>7.</w:t>
        <w:tab/>
      </w:r>
      <w:r>
        <w:rPr/>
        <w:t>RCW</w:t>
      </w:r>
      <w:r>
        <w:rPr>
          <w:spacing w:val="-15"/>
        </w:rPr>
        <w:t> </w:t>
      </w:r>
      <w:r>
        <w:rPr/>
        <w:t>43.84.092</w:t>
      </w:r>
      <w:r>
        <w:rPr>
          <w:spacing w:val="-15"/>
        </w:rPr>
        <w:t> </w:t>
      </w:r>
      <w:r>
        <w:rPr/>
        <w:t>and</w:t>
      </w:r>
      <w:r>
        <w:rPr>
          <w:spacing w:val="-15"/>
        </w:rPr>
        <w:t> </w:t>
      </w:r>
      <w:r>
        <w:rPr/>
        <w:t>2017</w:t>
      </w:r>
      <w:r>
        <w:rPr>
          <w:spacing w:val="-15"/>
        </w:rPr>
        <w:t> </w:t>
      </w:r>
      <w:r>
        <w:rPr/>
        <w:t>3rd</w:t>
      </w:r>
      <w:r>
        <w:rPr>
          <w:spacing w:val="-14"/>
        </w:rPr>
        <w:t> </w:t>
      </w:r>
      <w:r>
        <w:rPr/>
        <w:t>sp.s.</w:t>
      </w:r>
      <w:r>
        <w:rPr>
          <w:spacing w:val="-15"/>
        </w:rPr>
        <w:t> </w:t>
      </w:r>
      <w:r>
        <w:rPr/>
        <w:t>c</w:t>
      </w:r>
      <w:r>
        <w:rPr>
          <w:spacing w:val="-15"/>
        </w:rPr>
        <w:t> </w:t>
      </w:r>
      <w:r>
        <w:rPr/>
        <w:t>25</w:t>
      </w:r>
      <w:r>
        <w:rPr>
          <w:spacing w:val="-15"/>
        </w:rPr>
        <w:t> </w:t>
      </w:r>
      <w:r>
        <w:rPr/>
        <w:t>s</w:t>
      </w:r>
      <w:r>
        <w:rPr>
          <w:spacing w:val="-15"/>
        </w:rPr>
        <w:t> </w:t>
      </w:r>
      <w:r>
        <w:rPr/>
        <w:t>50,</w:t>
      </w:r>
      <w:r>
        <w:rPr>
          <w:spacing w:val="-14"/>
        </w:rPr>
        <w:t> </w:t>
      </w:r>
      <w:r>
        <w:rPr/>
        <w:t>2017</w:t>
      </w:r>
      <w:r>
        <w:rPr>
          <w:spacing w:val="-15"/>
        </w:rPr>
        <w:t> </w:t>
      </w:r>
      <w:r>
        <w:rPr/>
        <w:t>3rd</w:t>
      </w:r>
    </w:p>
    <w:p>
      <w:pPr>
        <w:pStyle w:val="Heading5"/>
        <w:spacing w:line="316" w:lineRule="auto" w:before="93"/>
        <w:ind w:right="695" w:firstLine="0"/>
        <w:jc w:val="left"/>
      </w:pPr>
      <w:r>
        <w:rPr/>
        <w:t>sp.s.</w:t>
      </w:r>
      <w:r>
        <w:rPr>
          <w:spacing w:val="-13"/>
        </w:rPr>
        <w:t> </w:t>
      </w:r>
      <w:r>
        <w:rPr/>
        <w:t>c</w:t>
      </w:r>
      <w:r>
        <w:rPr>
          <w:spacing w:val="-12"/>
        </w:rPr>
        <w:t> </w:t>
      </w:r>
      <w:r>
        <w:rPr/>
        <w:t>12</w:t>
      </w:r>
      <w:r>
        <w:rPr>
          <w:spacing w:val="-13"/>
        </w:rPr>
        <w:t> </w:t>
      </w:r>
      <w:r>
        <w:rPr/>
        <w:t>s</w:t>
      </w:r>
      <w:r>
        <w:rPr>
          <w:spacing w:val="-12"/>
        </w:rPr>
        <w:t> </w:t>
      </w:r>
      <w:r>
        <w:rPr/>
        <w:t>12,</w:t>
      </w:r>
      <w:r>
        <w:rPr>
          <w:spacing w:val="-12"/>
        </w:rPr>
        <w:t> </w:t>
      </w:r>
      <w:r>
        <w:rPr/>
        <w:t>and</w:t>
      </w:r>
      <w:r>
        <w:rPr>
          <w:spacing w:val="-13"/>
        </w:rPr>
        <w:t> </w:t>
      </w:r>
      <w:r>
        <w:rPr/>
        <w:t>2017</w:t>
      </w:r>
      <w:r>
        <w:rPr>
          <w:spacing w:val="-12"/>
        </w:rPr>
        <w:t> </w:t>
      </w:r>
      <w:r>
        <w:rPr/>
        <w:t>c</w:t>
      </w:r>
      <w:r>
        <w:rPr>
          <w:spacing w:val="-12"/>
        </w:rPr>
        <w:t> </w:t>
      </w:r>
      <w:r>
        <w:rPr/>
        <w:t>290</w:t>
      </w:r>
      <w:r>
        <w:rPr>
          <w:spacing w:val="-13"/>
        </w:rPr>
        <w:t> </w:t>
      </w:r>
      <w:r>
        <w:rPr/>
        <w:t>s</w:t>
      </w:r>
      <w:r>
        <w:rPr>
          <w:spacing w:val="-12"/>
        </w:rPr>
        <w:t> </w:t>
      </w:r>
      <w:r>
        <w:rPr/>
        <w:t>8</w:t>
      </w:r>
      <w:r>
        <w:rPr>
          <w:spacing w:val="-12"/>
        </w:rPr>
        <w:t> </w:t>
      </w:r>
      <w:r>
        <w:rPr/>
        <w:t>are</w:t>
      </w:r>
      <w:r>
        <w:rPr>
          <w:spacing w:val="-13"/>
        </w:rPr>
        <w:t> </w:t>
      </w:r>
      <w:r>
        <w:rPr/>
        <w:t>each</w:t>
      </w:r>
      <w:r>
        <w:rPr>
          <w:spacing w:val="-12"/>
        </w:rPr>
        <w:t> </w:t>
      </w:r>
      <w:r>
        <w:rPr/>
        <w:t>reenacted</w:t>
      </w:r>
      <w:r>
        <w:rPr>
          <w:spacing w:val="-12"/>
        </w:rPr>
        <w:t> </w:t>
      </w:r>
      <w:r>
        <w:rPr/>
        <w:t>and</w:t>
      </w:r>
      <w:r>
        <w:rPr>
          <w:spacing w:val="-13"/>
        </w:rPr>
        <w:t> </w:t>
      </w:r>
      <w:r>
        <w:rPr/>
        <w:t>amended to read as</w:t>
      </w:r>
      <w:r>
        <w:rPr>
          <w:spacing w:val="-4"/>
        </w:rPr>
        <w:t> </w:t>
      </w:r>
      <w:r>
        <w:rPr/>
        <w:t>follows:</w:t>
      </w:r>
    </w:p>
    <w:p>
      <w:pPr>
        <w:pStyle w:val="Heading5"/>
        <w:numPr>
          <w:ilvl w:val="0"/>
          <w:numId w:val="28"/>
        </w:numPr>
        <w:tabs>
          <w:tab w:pos="2167" w:val="left" w:leader="none"/>
        </w:tabs>
        <w:spacing w:line="316" w:lineRule="auto" w:before="5" w:after="0"/>
        <w:ind w:left="820" w:right="698" w:firstLine="742"/>
        <w:jc w:val="both"/>
      </w:pPr>
      <w:r>
        <w:rPr/>
        <w:t>All earnings of investments of surplus balances in the state treasury shall be deposited to the treasury income</w:t>
      </w:r>
      <w:r>
        <w:rPr>
          <w:spacing w:val="-55"/>
        </w:rPr>
        <w:t> </w:t>
      </w:r>
      <w:r>
        <w:rPr/>
        <w:t>account, which account is hereby established in the state</w:t>
      </w:r>
      <w:r>
        <w:rPr>
          <w:spacing w:val="-30"/>
        </w:rPr>
        <w:t> </w:t>
      </w:r>
      <w:r>
        <w:rPr/>
        <w:t>treasury.</w:t>
      </w:r>
    </w:p>
    <w:p>
      <w:pPr>
        <w:pStyle w:val="Heading5"/>
        <w:numPr>
          <w:ilvl w:val="0"/>
          <w:numId w:val="28"/>
        </w:numPr>
        <w:tabs>
          <w:tab w:pos="2150" w:val="left" w:leader="none"/>
        </w:tabs>
        <w:spacing w:line="316" w:lineRule="auto" w:before="6" w:after="0"/>
        <w:ind w:left="820" w:right="698" w:firstLine="742"/>
        <w:jc w:val="both"/>
      </w:pPr>
      <w:r>
        <w:rPr/>
        <w:t>The treasury income account shall be utilized to pay or receive funds associated with federal programs as required by</w:t>
      </w:r>
      <w:r>
        <w:rPr>
          <w:spacing w:val="-54"/>
        </w:rPr>
        <w:t> </w:t>
      </w:r>
      <w:r>
        <w:rPr/>
        <w:t>the federal cash management improvement act of 1990. The treasury income account is subject in all respects to chapter 43.88 RCW, but no appropriation is required for refunds or allocations of interest</w:t>
      </w:r>
      <w:r>
        <w:rPr>
          <w:spacing w:val="-26"/>
        </w:rPr>
        <w:t> </w:t>
      </w:r>
      <w:r>
        <w:rPr/>
        <w:t>earnings</w:t>
      </w:r>
      <w:r>
        <w:rPr>
          <w:spacing w:val="-23"/>
        </w:rPr>
        <w:t> </w:t>
      </w:r>
      <w:r>
        <w:rPr/>
        <w:t>required</w:t>
      </w:r>
      <w:r>
        <w:rPr>
          <w:spacing w:val="-26"/>
        </w:rPr>
        <w:t> </w:t>
      </w:r>
      <w:r>
        <w:rPr/>
        <w:t>by</w:t>
      </w:r>
      <w:r>
        <w:rPr>
          <w:spacing w:val="-25"/>
        </w:rPr>
        <w:t> </w:t>
      </w:r>
      <w:r>
        <w:rPr/>
        <w:t>the</w:t>
      </w:r>
      <w:r>
        <w:rPr>
          <w:spacing w:val="-21"/>
        </w:rPr>
        <w:t> </w:t>
      </w:r>
      <w:r>
        <w:rPr/>
        <w:t>cash</w:t>
      </w:r>
      <w:r>
        <w:rPr>
          <w:spacing w:val="-25"/>
        </w:rPr>
        <w:t> </w:t>
      </w:r>
      <w:r>
        <w:rPr/>
        <w:t>management</w:t>
      </w:r>
      <w:r>
        <w:rPr>
          <w:spacing w:val="-26"/>
        </w:rPr>
        <w:t> </w:t>
      </w:r>
      <w:r>
        <w:rPr/>
        <w:t>improvement</w:t>
      </w:r>
      <w:r>
        <w:rPr>
          <w:spacing w:val="-25"/>
        </w:rPr>
        <w:t> </w:t>
      </w:r>
      <w:r>
        <w:rPr/>
        <w:t>act. Refunds of interest to the federal treasury required under the cash</w:t>
      </w:r>
      <w:r>
        <w:rPr>
          <w:spacing w:val="-22"/>
        </w:rPr>
        <w:t> </w:t>
      </w:r>
      <w:r>
        <w:rPr/>
        <w:t>management</w:t>
      </w:r>
      <w:r>
        <w:rPr>
          <w:spacing w:val="-21"/>
        </w:rPr>
        <w:t> </w:t>
      </w:r>
      <w:r>
        <w:rPr/>
        <w:t>improvement</w:t>
      </w:r>
      <w:r>
        <w:rPr>
          <w:spacing w:val="-21"/>
        </w:rPr>
        <w:t> </w:t>
      </w:r>
      <w:r>
        <w:rPr/>
        <w:t>act</w:t>
      </w:r>
      <w:r>
        <w:rPr>
          <w:spacing w:val="-21"/>
        </w:rPr>
        <w:t> </w:t>
      </w:r>
      <w:r>
        <w:rPr/>
        <w:t>fall</w:t>
      </w:r>
      <w:r>
        <w:rPr>
          <w:spacing w:val="-21"/>
        </w:rPr>
        <w:t> </w:t>
      </w:r>
      <w:r>
        <w:rPr/>
        <w:t>under</w:t>
      </w:r>
      <w:r>
        <w:rPr>
          <w:spacing w:val="-21"/>
        </w:rPr>
        <w:t> </w:t>
      </w:r>
      <w:r>
        <w:rPr/>
        <w:t>RCW</w:t>
      </w:r>
      <w:r>
        <w:rPr>
          <w:spacing w:val="-22"/>
        </w:rPr>
        <w:t> </w:t>
      </w:r>
      <w:r>
        <w:rPr/>
        <w:t>43.88.180</w:t>
      </w:r>
      <w:r>
        <w:rPr>
          <w:spacing w:val="-21"/>
        </w:rPr>
        <w:t> </w:t>
      </w:r>
      <w:r>
        <w:rPr/>
        <w:t>and</w:t>
      </w:r>
      <w:r>
        <w:rPr>
          <w:spacing w:val="-21"/>
        </w:rPr>
        <w:t> </w:t>
      </w:r>
      <w:r>
        <w:rPr/>
        <w:t>shall not require appropriation. The office of financial management shall determine the amounts due to or from the federal</w:t>
      </w:r>
      <w:r>
        <w:rPr>
          <w:spacing w:val="-53"/>
        </w:rPr>
        <w:t> </w:t>
      </w:r>
      <w:r>
        <w:rPr/>
        <w:t>government pursuant to the cash management improvement act. The office of financial management may direct transfers of funds</w:t>
      </w:r>
      <w:r>
        <w:rPr>
          <w:spacing w:val="94"/>
        </w:rPr>
        <w:t> </w:t>
      </w:r>
      <w:r>
        <w:rPr/>
        <w:t>between accounts</w:t>
      </w:r>
      <w:r>
        <w:rPr>
          <w:spacing w:val="25"/>
        </w:rPr>
        <w:t> </w:t>
      </w:r>
      <w:r>
        <w:rPr/>
        <w:t>as</w:t>
      </w:r>
      <w:r>
        <w:rPr>
          <w:spacing w:val="26"/>
        </w:rPr>
        <w:t> </w:t>
      </w:r>
      <w:r>
        <w:rPr/>
        <w:t>deemed</w:t>
      </w:r>
      <w:r>
        <w:rPr>
          <w:spacing w:val="26"/>
        </w:rPr>
        <w:t> </w:t>
      </w:r>
      <w:r>
        <w:rPr/>
        <w:t>necessary</w:t>
      </w:r>
      <w:r>
        <w:rPr>
          <w:spacing w:val="26"/>
        </w:rPr>
        <w:t> </w:t>
      </w:r>
      <w:r>
        <w:rPr/>
        <w:t>to</w:t>
      </w:r>
      <w:r>
        <w:rPr>
          <w:spacing w:val="29"/>
        </w:rPr>
        <w:t> </w:t>
      </w:r>
      <w:r>
        <w:rPr/>
        <w:t>implement</w:t>
      </w:r>
      <w:r>
        <w:rPr>
          <w:spacing w:val="25"/>
        </w:rPr>
        <w:t> </w:t>
      </w:r>
      <w:r>
        <w:rPr/>
        <w:t>the</w:t>
      </w:r>
      <w:r>
        <w:rPr>
          <w:spacing w:val="26"/>
        </w:rPr>
        <w:t> </w:t>
      </w:r>
      <w:r>
        <w:rPr/>
        <w:t>provisions</w:t>
      </w:r>
      <w:r>
        <w:rPr>
          <w:spacing w:val="26"/>
        </w:rPr>
        <w:t> </w:t>
      </w:r>
      <w:r>
        <w:rPr/>
        <w:t>of</w:t>
      </w:r>
      <w:r>
        <w:rPr>
          <w:spacing w:val="26"/>
        </w:rPr>
        <w:t> </w:t>
      </w:r>
      <w:r>
        <w:rPr/>
        <w:t>the</w:t>
      </w:r>
    </w:p>
    <w:p>
      <w:pPr>
        <w:spacing w:after="0" w:line="316" w:lineRule="auto"/>
        <w:jc w:val="both"/>
        <w:sectPr>
          <w:pgSz w:w="12240" w:h="15840"/>
          <w:pgMar w:header="0" w:footer="1277" w:top="1360" w:bottom="1540" w:left="620" w:right="740"/>
        </w:sectPr>
      </w:pPr>
    </w:p>
    <w:p>
      <w:pPr>
        <w:pStyle w:val="Heading5"/>
        <w:spacing w:line="316" w:lineRule="auto" w:before="89"/>
        <w:ind w:right="699" w:firstLine="0"/>
      </w:pPr>
      <w:r>
        <w:rPr/>
        <w:t>cash management improvement act, and this subsection. Refunds or allocations</w:t>
      </w:r>
      <w:r>
        <w:rPr>
          <w:spacing w:val="-22"/>
        </w:rPr>
        <w:t> </w:t>
      </w:r>
      <w:r>
        <w:rPr/>
        <w:t>shall</w:t>
      </w:r>
      <w:r>
        <w:rPr>
          <w:spacing w:val="-20"/>
        </w:rPr>
        <w:t> </w:t>
      </w:r>
      <w:r>
        <w:rPr/>
        <w:t>occur</w:t>
      </w:r>
      <w:r>
        <w:rPr>
          <w:spacing w:val="-22"/>
        </w:rPr>
        <w:t> </w:t>
      </w:r>
      <w:r>
        <w:rPr/>
        <w:t>prior</w:t>
      </w:r>
      <w:r>
        <w:rPr>
          <w:spacing w:val="-22"/>
        </w:rPr>
        <w:t> </w:t>
      </w:r>
      <w:r>
        <w:rPr/>
        <w:t>to</w:t>
      </w:r>
      <w:r>
        <w:rPr>
          <w:spacing w:val="-21"/>
        </w:rPr>
        <w:t> </w:t>
      </w:r>
      <w:r>
        <w:rPr/>
        <w:t>the</w:t>
      </w:r>
      <w:r>
        <w:rPr>
          <w:spacing w:val="-22"/>
        </w:rPr>
        <w:t> </w:t>
      </w:r>
      <w:r>
        <w:rPr/>
        <w:t>distributions</w:t>
      </w:r>
      <w:r>
        <w:rPr>
          <w:spacing w:val="-20"/>
        </w:rPr>
        <w:t> </w:t>
      </w:r>
      <w:r>
        <w:rPr/>
        <w:t>of</w:t>
      </w:r>
      <w:r>
        <w:rPr>
          <w:spacing w:val="-22"/>
        </w:rPr>
        <w:t> </w:t>
      </w:r>
      <w:r>
        <w:rPr/>
        <w:t>earnings</w:t>
      </w:r>
      <w:r>
        <w:rPr>
          <w:spacing w:val="-22"/>
        </w:rPr>
        <w:t> </w:t>
      </w:r>
      <w:r>
        <w:rPr/>
        <w:t>set forth in subsection (4) of this</w:t>
      </w:r>
      <w:r>
        <w:rPr>
          <w:spacing w:val="-12"/>
        </w:rPr>
        <w:t> </w:t>
      </w:r>
      <w:r>
        <w:rPr/>
        <w:t>section.</w:t>
      </w:r>
    </w:p>
    <w:p>
      <w:pPr>
        <w:pStyle w:val="Heading5"/>
        <w:numPr>
          <w:ilvl w:val="0"/>
          <w:numId w:val="28"/>
        </w:numPr>
        <w:tabs>
          <w:tab w:pos="2136" w:val="left" w:leader="none"/>
        </w:tabs>
        <w:spacing w:line="316" w:lineRule="auto" w:before="6" w:after="0"/>
        <w:ind w:left="820" w:right="696" w:firstLine="742"/>
        <w:jc w:val="both"/>
      </w:pPr>
      <w:r>
        <w:rPr/>
        <w:t>Except for the provisions of RCW 43.84.160, the</w:t>
      </w:r>
      <w:r>
        <w:rPr>
          <w:spacing w:val="-63"/>
        </w:rPr>
        <w:t> </w:t>
      </w:r>
      <w:r>
        <w:rPr/>
        <w:t>treasury income</w:t>
      </w:r>
      <w:r>
        <w:rPr>
          <w:spacing w:val="-34"/>
        </w:rPr>
        <w:t> </w:t>
      </w:r>
      <w:r>
        <w:rPr/>
        <w:t>account</w:t>
      </w:r>
      <w:r>
        <w:rPr>
          <w:spacing w:val="-33"/>
        </w:rPr>
        <w:t> </w:t>
      </w:r>
      <w:r>
        <w:rPr/>
        <w:t>may</w:t>
      </w:r>
      <w:r>
        <w:rPr>
          <w:spacing w:val="-33"/>
        </w:rPr>
        <w:t> </w:t>
      </w:r>
      <w:r>
        <w:rPr/>
        <w:t>be</w:t>
      </w:r>
      <w:r>
        <w:rPr>
          <w:spacing w:val="-34"/>
        </w:rPr>
        <w:t> </w:t>
      </w:r>
      <w:r>
        <w:rPr/>
        <w:t>utilized</w:t>
      </w:r>
      <w:r>
        <w:rPr>
          <w:spacing w:val="-33"/>
        </w:rPr>
        <w:t> </w:t>
      </w:r>
      <w:r>
        <w:rPr/>
        <w:t>for</w:t>
      </w:r>
      <w:r>
        <w:rPr>
          <w:spacing w:val="-33"/>
        </w:rPr>
        <w:t> </w:t>
      </w:r>
      <w:r>
        <w:rPr/>
        <w:t>the</w:t>
      </w:r>
      <w:r>
        <w:rPr>
          <w:spacing w:val="-34"/>
        </w:rPr>
        <w:t> </w:t>
      </w:r>
      <w:r>
        <w:rPr/>
        <w:t>payment</w:t>
      </w:r>
      <w:r>
        <w:rPr>
          <w:spacing w:val="-33"/>
        </w:rPr>
        <w:t> </w:t>
      </w:r>
      <w:r>
        <w:rPr/>
        <w:t>of</w:t>
      </w:r>
      <w:r>
        <w:rPr>
          <w:spacing w:val="-33"/>
        </w:rPr>
        <w:t> </w:t>
      </w:r>
      <w:r>
        <w:rPr/>
        <w:t>purchased</w:t>
      </w:r>
      <w:r>
        <w:rPr>
          <w:spacing w:val="-34"/>
        </w:rPr>
        <w:t> </w:t>
      </w:r>
      <w:r>
        <w:rPr/>
        <w:t>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w:t>
      </w:r>
      <w:r>
        <w:rPr>
          <w:spacing w:val="-9"/>
        </w:rPr>
        <w:t> </w:t>
      </w:r>
      <w:r>
        <w:rPr/>
        <w:t>section.</w:t>
      </w:r>
    </w:p>
    <w:p>
      <w:pPr>
        <w:pStyle w:val="Heading5"/>
        <w:numPr>
          <w:ilvl w:val="0"/>
          <w:numId w:val="28"/>
        </w:numPr>
        <w:tabs>
          <w:tab w:pos="2280" w:val="left" w:leader="none"/>
        </w:tabs>
        <w:spacing w:line="316" w:lineRule="auto" w:before="6" w:after="0"/>
        <w:ind w:left="820" w:right="700" w:firstLine="742"/>
        <w:jc w:val="both"/>
      </w:pPr>
      <w:r>
        <w:rPr/>
        <w:t>Monthly, the state treasurer shall distribute</w:t>
      </w:r>
      <w:r>
        <w:rPr>
          <w:spacing w:val="84"/>
        </w:rPr>
        <w:t> </w:t>
      </w:r>
      <w:r>
        <w:rPr/>
        <w:t>the earnings credited to the treasury income account. The state treasurer shall credit the general fund with all the earnings credited to the treasury income account</w:t>
      </w:r>
      <w:r>
        <w:rPr>
          <w:spacing w:val="-15"/>
        </w:rPr>
        <w:t> </w:t>
      </w:r>
      <w:r>
        <w:rPr/>
        <w:t>except:</w:t>
      </w:r>
    </w:p>
    <w:p>
      <w:pPr>
        <w:pStyle w:val="Heading5"/>
        <w:numPr>
          <w:ilvl w:val="1"/>
          <w:numId w:val="28"/>
        </w:numPr>
        <w:tabs>
          <w:tab w:pos="2208" w:val="left" w:leader="none"/>
        </w:tabs>
        <w:spacing w:line="316" w:lineRule="auto" w:before="4" w:after="0"/>
        <w:ind w:left="820" w:right="696" w:firstLine="742"/>
        <w:jc w:val="both"/>
      </w:pPr>
      <w:r>
        <w:rPr/>
        <w:t>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w:t>
      </w:r>
      <w:r>
        <w:rPr>
          <w:spacing w:val="-26"/>
        </w:rPr>
        <w:t> </w:t>
      </w:r>
      <w:r>
        <w:rPr/>
        <w:t>recovery</w:t>
      </w:r>
      <w:r>
        <w:rPr>
          <w:spacing w:val="-22"/>
        </w:rPr>
        <w:t> </w:t>
      </w:r>
      <w:r>
        <w:rPr/>
        <w:t>account,</w:t>
      </w:r>
      <w:r>
        <w:rPr>
          <w:spacing w:val="-25"/>
        </w:rPr>
        <w:t> </w:t>
      </w:r>
      <w:r>
        <w:rPr/>
        <w:t>the</w:t>
      </w:r>
      <w:r>
        <w:rPr>
          <w:spacing w:val="-25"/>
        </w:rPr>
        <w:t> </w:t>
      </w:r>
      <w:r>
        <w:rPr/>
        <w:t>common</w:t>
      </w:r>
      <w:r>
        <w:rPr>
          <w:spacing w:val="-25"/>
        </w:rPr>
        <w:t> </w:t>
      </w:r>
      <w:r>
        <w:rPr/>
        <w:t>school</w:t>
      </w:r>
      <w:r>
        <w:rPr>
          <w:spacing w:val="-26"/>
        </w:rPr>
        <w:t> </w:t>
      </w:r>
      <w:r>
        <w:rPr/>
        <w:t>construction</w:t>
      </w:r>
      <w:r>
        <w:rPr>
          <w:spacing w:val="-25"/>
        </w:rPr>
        <w:t> </w:t>
      </w:r>
      <w:r>
        <w:rPr/>
        <w:t>fund,</w:t>
      </w:r>
      <w:r>
        <w:rPr>
          <w:spacing w:val="-25"/>
        </w:rPr>
        <w:t> </w:t>
      </w:r>
      <w:r>
        <w:rPr/>
        <w:t>the community</w:t>
      </w:r>
      <w:r>
        <w:rPr>
          <w:spacing w:val="-29"/>
        </w:rPr>
        <w:t> </w:t>
      </w:r>
      <w:r>
        <w:rPr/>
        <w:t>forest</w:t>
      </w:r>
      <w:r>
        <w:rPr>
          <w:spacing w:val="-26"/>
        </w:rPr>
        <w:t> </w:t>
      </w:r>
      <w:r>
        <w:rPr/>
        <w:t>trust</w:t>
      </w:r>
      <w:r>
        <w:rPr>
          <w:spacing w:val="-28"/>
        </w:rPr>
        <w:t> </w:t>
      </w:r>
      <w:r>
        <w:rPr/>
        <w:t>account,</w:t>
      </w:r>
      <w:r>
        <w:rPr>
          <w:spacing w:val="-28"/>
        </w:rPr>
        <w:t> </w:t>
      </w:r>
      <w:r>
        <w:rPr/>
        <w:t>the</w:t>
      </w:r>
      <w:r>
        <w:rPr>
          <w:spacing w:val="-28"/>
        </w:rPr>
        <w:t> </w:t>
      </w:r>
      <w:r>
        <w:rPr/>
        <w:t>connecting</w:t>
      </w:r>
      <w:r>
        <w:rPr>
          <w:spacing w:val="-28"/>
        </w:rPr>
        <w:t> </w:t>
      </w:r>
      <w:r>
        <w:rPr/>
        <w:t>Washington</w:t>
      </w:r>
      <w:r>
        <w:rPr>
          <w:spacing w:val="-29"/>
        </w:rPr>
        <w:t> </w:t>
      </w:r>
      <w:r>
        <w:rPr/>
        <w:t>account, the county arterial preservation account, the county criminal justice assistance account, the deferred compensation administrative account, the deferred compensation</w:t>
      </w:r>
      <w:r>
        <w:rPr>
          <w:spacing w:val="92"/>
        </w:rPr>
        <w:t> </w:t>
      </w:r>
      <w:r>
        <w:rPr/>
        <w:t>principal</w:t>
      </w:r>
    </w:p>
    <w:p>
      <w:pPr>
        <w:spacing w:after="0" w:line="316" w:lineRule="auto"/>
        <w:jc w:val="both"/>
        <w:sectPr>
          <w:pgSz w:w="12240" w:h="15840"/>
          <w:pgMar w:header="0" w:footer="1277" w:top="1360" w:bottom="1540" w:left="620" w:right="740"/>
        </w:sectPr>
      </w:pPr>
    </w:p>
    <w:p>
      <w:pPr>
        <w:pStyle w:val="Heading5"/>
        <w:spacing w:line="316" w:lineRule="auto" w:before="89"/>
        <w:ind w:right="695" w:firstLine="0"/>
      </w:pPr>
      <w:r>
        <w:rPr/>
        <w:t>account, the department of licensing services account, the department of retirement systems expense account, the developmental disabilities community trust account, the diesel idle</w:t>
      </w:r>
      <w:r>
        <w:rPr>
          <w:spacing w:val="-25"/>
        </w:rPr>
        <w:t> </w:t>
      </w:r>
      <w:r>
        <w:rPr/>
        <w:t>reduction</w:t>
      </w:r>
      <w:r>
        <w:rPr>
          <w:spacing w:val="-25"/>
        </w:rPr>
        <w:t> </w:t>
      </w:r>
      <w:r>
        <w:rPr/>
        <w:t>account,</w:t>
      </w:r>
      <w:r>
        <w:rPr>
          <w:spacing w:val="-25"/>
        </w:rPr>
        <w:t> </w:t>
      </w:r>
      <w:r>
        <w:rPr/>
        <w:t>the</w:t>
      </w:r>
      <w:r>
        <w:rPr>
          <w:spacing w:val="-24"/>
        </w:rPr>
        <w:t> </w:t>
      </w:r>
      <w:r>
        <w:rPr/>
        <w:t>drinking</w:t>
      </w:r>
      <w:r>
        <w:rPr>
          <w:spacing w:val="-25"/>
        </w:rPr>
        <w:t> </w:t>
      </w:r>
      <w:r>
        <w:rPr/>
        <w:t>water</w:t>
      </w:r>
      <w:r>
        <w:rPr>
          <w:spacing w:val="-25"/>
        </w:rPr>
        <w:t> </w:t>
      </w:r>
      <w:r>
        <w:rPr/>
        <w:t>assistance</w:t>
      </w:r>
      <w:r>
        <w:rPr>
          <w:spacing w:val="-25"/>
        </w:rPr>
        <w:t> </w:t>
      </w:r>
      <w:r>
        <w:rPr/>
        <w:t>account,</w:t>
      </w:r>
      <w:r>
        <w:rPr>
          <w:spacing w:val="-24"/>
        </w:rPr>
        <w:t> </w:t>
      </w:r>
      <w:r>
        <w:rPr/>
        <w:t>the drinking water assistance administrative account, the early learning facilities development account, the early learning facilities revolving account, the Eastern Washington University capital projects account, the Interstate 405 express toll lanes operations</w:t>
      </w:r>
      <w:r>
        <w:rPr>
          <w:spacing w:val="-29"/>
        </w:rPr>
        <w:t> </w:t>
      </w:r>
      <w:r>
        <w:rPr/>
        <w:t>account,</w:t>
      </w:r>
      <w:r>
        <w:rPr>
          <w:spacing w:val="-28"/>
        </w:rPr>
        <w:t> </w:t>
      </w:r>
      <w:r>
        <w:rPr/>
        <w:t>the</w:t>
      </w:r>
      <w:r>
        <w:rPr>
          <w:spacing w:val="-28"/>
        </w:rPr>
        <w:t> </w:t>
      </w:r>
      <w:r>
        <w:rPr/>
        <w:t>education</w:t>
      </w:r>
      <w:r>
        <w:rPr>
          <w:spacing w:val="-26"/>
        </w:rPr>
        <w:t> </w:t>
      </w:r>
      <w:r>
        <w:rPr/>
        <w:t>construction</w:t>
      </w:r>
      <w:r>
        <w:rPr>
          <w:spacing w:val="-28"/>
        </w:rPr>
        <w:t> </w:t>
      </w:r>
      <w:r>
        <w:rPr/>
        <w:t>fund,</w:t>
      </w:r>
      <w:r>
        <w:rPr>
          <w:spacing w:val="-28"/>
        </w:rPr>
        <w:t> </w:t>
      </w:r>
      <w:r>
        <w:rPr/>
        <w:t>the</w:t>
      </w:r>
      <w:r>
        <w:rPr>
          <w:spacing w:val="-29"/>
        </w:rPr>
        <w:t> </w:t>
      </w:r>
      <w:r>
        <w:rPr/>
        <w:t>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rPr>
          <w:strike/>
        </w:rPr>
        <w:t>the high capacity</w:t>
      </w:r>
      <w:r>
        <w:rPr>
          <w:strike w:val="0"/>
        </w:rPr>
        <w:t> </w:t>
      </w:r>
      <w:r>
        <w:rPr>
          <w:strike/>
        </w:rPr>
        <w:t>transportation</w:t>
      </w:r>
      <w:r>
        <w:rPr>
          <w:strike w:val="0"/>
        </w:rPr>
        <w:t> </w:t>
      </w:r>
      <w:r>
        <w:rPr>
          <w:strike/>
        </w:rPr>
        <w:t>account,</w:t>
      </w:r>
      <w:r>
        <w:rPr>
          <w:strike w:val="0"/>
        </w:rPr>
        <w:t>)) the state higher education construction account, the higher education construction account, the highway bond retirement fund, the highway infrastructure account, the highway safety fund, the high occupancy toll lanes operations account,</w:t>
      </w:r>
      <w:r>
        <w:rPr>
          <w:strike w:val="0"/>
          <w:spacing w:val="-38"/>
        </w:rPr>
        <w:t> </w:t>
      </w:r>
      <w:r>
        <w:rPr>
          <w:strike w:val="0"/>
        </w:rPr>
        <w:t>the</w:t>
      </w:r>
      <w:r>
        <w:rPr>
          <w:strike w:val="0"/>
          <w:spacing w:val="-38"/>
        </w:rPr>
        <w:t> </w:t>
      </w:r>
      <w:r>
        <w:rPr>
          <w:strike w:val="0"/>
        </w:rPr>
        <w:t>hospital</w:t>
      </w:r>
      <w:r>
        <w:rPr>
          <w:strike w:val="0"/>
          <w:spacing w:val="-38"/>
        </w:rPr>
        <w:t> </w:t>
      </w:r>
      <w:r>
        <w:rPr>
          <w:strike w:val="0"/>
        </w:rPr>
        <w:t>safety</w:t>
      </w:r>
      <w:r>
        <w:rPr>
          <w:strike w:val="0"/>
          <w:spacing w:val="-38"/>
        </w:rPr>
        <w:t> </w:t>
      </w:r>
      <w:r>
        <w:rPr>
          <w:strike w:val="0"/>
        </w:rPr>
        <w:t>net</w:t>
      </w:r>
      <w:r>
        <w:rPr>
          <w:strike w:val="0"/>
          <w:spacing w:val="-37"/>
        </w:rPr>
        <w:t> </w:t>
      </w:r>
      <w:r>
        <w:rPr>
          <w:strike w:val="0"/>
        </w:rPr>
        <w:t>assessment</w:t>
      </w:r>
      <w:r>
        <w:rPr>
          <w:strike w:val="0"/>
          <w:spacing w:val="-38"/>
        </w:rPr>
        <w:t> </w:t>
      </w:r>
      <w:r>
        <w:rPr>
          <w:strike w:val="0"/>
        </w:rPr>
        <w:t>fund,</w:t>
      </w:r>
      <w:r>
        <w:rPr>
          <w:strike w:val="0"/>
          <w:spacing w:val="-36"/>
        </w:rPr>
        <w:t> </w:t>
      </w:r>
      <w:r>
        <w:rPr>
          <w:strike w:val="0"/>
          <w:u w:val="single"/>
        </w:rPr>
        <w:t>the</w:t>
      </w:r>
      <w:r>
        <w:rPr>
          <w:strike w:val="0"/>
          <w:spacing w:val="-38"/>
          <w:u w:val="single"/>
        </w:rPr>
        <w:t> </w:t>
      </w:r>
      <w:r>
        <w:rPr>
          <w:strike w:val="0"/>
          <w:u w:val="single"/>
        </w:rPr>
        <w:t>Indian</w:t>
      </w:r>
      <w:r>
        <w:rPr>
          <w:strike w:val="0"/>
          <w:spacing w:val="-38"/>
          <w:u w:val="single"/>
        </w:rPr>
        <w:t> </w:t>
      </w:r>
      <w:r>
        <w:rPr>
          <w:strike w:val="0"/>
          <w:u w:val="single"/>
        </w:rPr>
        <w:t>health</w:t>
      </w:r>
      <w:r>
        <w:rPr>
          <w:strike w:val="0"/>
        </w:rPr>
        <w:t> </w:t>
      </w:r>
      <w:r>
        <w:rPr>
          <w:strike w:val="0"/>
          <w:u w:val="single"/>
        </w:rPr>
        <w:t>improvement</w:t>
      </w:r>
      <w:r>
        <w:rPr>
          <w:strike w:val="0"/>
          <w:spacing w:val="-33"/>
          <w:u w:val="single"/>
        </w:rPr>
        <w:t> </w:t>
      </w:r>
      <w:r>
        <w:rPr>
          <w:strike w:val="0"/>
          <w:u w:val="single"/>
        </w:rPr>
        <w:t>reinvestment</w:t>
      </w:r>
      <w:r>
        <w:rPr>
          <w:strike w:val="0"/>
          <w:spacing w:val="-33"/>
          <w:u w:val="single"/>
        </w:rPr>
        <w:t> </w:t>
      </w:r>
      <w:r>
        <w:rPr>
          <w:strike w:val="0"/>
          <w:u w:val="single"/>
        </w:rPr>
        <w:t>account,</w:t>
      </w:r>
      <w:r>
        <w:rPr>
          <w:strike w:val="0"/>
          <w:spacing w:val="-33"/>
        </w:rPr>
        <w:t> </w:t>
      </w:r>
      <w:r>
        <w:rPr>
          <w:strike w:val="0"/>
        </w:rPr>
        <w:t>the</w:t>
      </w:r>
      <w:r>
        <w:rPr>
          <w:strike w:val="0"/>
          <w:spacing w:val="-33"/>
        </w:rPr>
        <w:t> </w:t>
      </w:r>
      <w:r>
        <w:rPr>
          <w:strike w:val="0"/>
        </w:rPr>
        <w:t>industrial</w:t>
      </w:r>
      <w:r>
        <w:rPr>
          <w:strike w:val="0"/>
          <w:spacing w:val="-33"/>
        </w:rPr>
        <w:t> </w:t>
      </w:r>
      <w:r>
        <w:rPr>
          <w:strike w:val="0"/>
        </w:rPr>
        <w:t>insurance</w:t>
      </w:r>
      <w:r>
        <w:rPr>
          <w:strike w:val="0"/>
          <w:spacing w:val="-33"/>
        </w:rPr>
        <w:t> </w:t>
      </w:r>
      <w:r>
        <w:rPr>
          <w:strike w:val="0"/>
        </w:rPr>
        <w:t>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w:t>
      </w:r>
      <w:r>
        <w:rPr>
          <w:strike w:val="0"/>
          <w:spacing w:val="94"/>
        </w:rPr>
        <w:t> </w:t>
      </w:r>
      <w:r>
        <w:rPr>
          <w:strike w:val="0"/>
        </w:rPr>
        <w:t>land</w:t>
      </w:r>
    </w:p>
    <w:p>
      <w:pPr>
        <w:spacing w:after="0" w:line="316" w:lineRule="auto"/>
        <w:sectPr>
          <w:pgSz w:w="12240" w:h="15840"/>
          <w:pgMar w:header="0" w:footer="1277" w:top="1360" w:bottom="1540" w:left="620" w:right="740"/>
        </w:sectPr>
      </w:pPr>
    </w:p>
    <w:p>
      <w:pPr>
        <w:pStyle w:val="Heading5"/>
        <w:spacing w:line="316" w:lineRule="auto" w:before="89"/>
        <w:ind w:firstLine="0"/>
      </w:pPr>
      <w:r>
        <w:rPr/>
        <w:t>account, the pension funding stabilization account, the perpetual surveillance and maintenance account, the pollution liability insurance agency underground storage tank revolving account, the public employees' retirement system plan account, the public employees' retirement system combined plan and plan account, the public facilities construction loan revolving account beginning July 1, 2004, the public health supplemental account, the public works assistance account, the Puget Sound capital construction account,</w:t>
      </w:r>
      <w:r>
        <w:rPr>
          <w:spacing w:val="-22"/>
        </w:rPr>
        <w:t> </w:t>
      </w:r>
      <w:r>
        <w:rPr/>
        <w:t>the</w:t>
      </w:r>
      <w:r>
        <w:rPr>
          <w:spacing w:val="-21"/>
        </w:rPr>
        <w:t> </w:t>
      </w:r>
      <w:r>
        <w:rPr/>
        <w:t>Puget</w:t>
      </w:r>
      <w:r>
        <w:rPr>
          <w:spacing w:val="-21"/>
        </w:rPr>
        <w:t> </w:t>
      </w:r>
      <w:r>
        <w:rPr/>
        <w:t>Sound</w:t>
      </w:r>
      <w:r>
        <w:rPr>
          <w:spacing w:val="-21"/>
        </w:rPr>
        <w:t> </w:t>
      </w:r>
      <w:r>
        <w:rPr/>
        <w:t>ferry</w:t>
      </w:r>
      <w:r>
        <w:rPr>
          <w:spacing w:val="-21"/>
        </w:rPr>
        <w:t> </w:t>
      </w:r>
      <w:r>
        <w:rPr/>
        <w:t>operations</w:t>
      </w:r>
      <w:r>
        <w:rPr>
          <w:spacing w:val="-21"/>
        </w:rPr>
        <w:t> </w:t>
      </w:r>
      <w:r>
        <w:rPr/>
        <w:t>account,</w:t>
      </w:r>
      <w:r>
        <w:rPr>
          <w:spacing w:val="-20"/>
        </w:rPr>
        <w:t> </w:t>
      </w:r>
      <w:r>
        <w:rPr/>
        <w:t>the</w:t>
      </w:r>
      <w:r>
        <w:rPr>
          <w:spacing w:val="-21"/>
        </w:rPr>
        <w:t> </w:t>
      </w:r>
      <w:r>
        <w:rPr/>
        <w:t>Puget</w:t>
      </w:r>
      <w:r>
        <w:rPr>
          <w:spacing w:val="-21"/>
        </w:rPr>
        <w:t> </w:t>
      </w:r>
      <w:r>
        <w:rPr/>
        <w:t>Sound taxpayer accountability account, the real estate appraiser commission</w:t>
      </w:r>
      <w:r>
        <w:rPr>
          <w:spacing w:val="-28"/>
        </w:rPr>
        <w:t> </w:t>
      </w:r>
      <w:r>
        <w:rPr/>
        <w:t>account,</w:t>
      </w:r>
      <w:r>
        <w:rPr>
          <w:spacing w:val="-28"/>
        </w:rPr>
        <w:t> </w:t>
      </w:r>
      <w:r>
        <w:rPr/>
        <w:t>the</w:t>
      </w:r>
      <w:r>
        <w:rPr>
          <w:spacing w:val="-28"/>
        </w:rPr>
        <w:t> </w:t>
      </w:r>
      <w:r>
        <w:rPr/>
        <w:t>recreational</w:t>
      </w:r>
      <w:r>
        <w:rPr>
          <w:spacing w:val="-28"/>
        </w:rPr>
        <w:t> </w:t>
      </w:r>
      <w:r>
        <w:rPr/>
        <w:t>vehicle</w:t>
      </w:r>
      <w:r>
        <w:rPr>
          <w:spacing w:val="-27"/>
        </w:rPr>
        <w:t> </w:t>
      </w:r>
      <w:r>
        <w:rPr/>
        <w:t>account,</w:t>
      </w:r>
      <w:r>
        <w:rPr>
          <w:spacing w:val="-28"/>
        </w:rPr>
        <w:t> </w:t>
      </w:r>
      <w:r>
        <w:rPr/>
        <w:t>the</w:t>
      </w:r>
      <w:r>
        <w:rPr>
          <w:spacing w:val="-28"/>
        </w:rPr>
        <w:t> </w:t>
      </w:r>
      <w:r>
        <w:rPr/>
        <w:t>regional mobility grant program account, the resource management cost account,</w:t>
      </w:r>
      <w:r>
        <w:rPr>
          <w:spacing w:val="-38"/>
        </w:rPr>
        <w:t> </w:t>
      </w:r>
      <w:r>
        <w:rPr/>
        <w:t>the</w:t>
      </w:r>
      <w:r>
        <w:rPr>
          <w:spacing w:val="-37"/>
        </w:rPr>
        <w:t> </w:t>
      </w:r>
      <w:r>
        <w:rPr/>
        <w:t>rural</w:t>
      </w:r>
      <w:r>
        <w:rPr>
          <w:spacing w:val="-38"/>
        </w:rPr>
        <w:t> </w:t>
      </w:r>
      <w:r>
        <w:rPr/>
        <w:t>arterial</w:t>
      </w:r>
      <w:r>
        <w:rPr>
          <w:spacing w:val="-37"/>
        </w:rPr>
        <w:t> </w:t>
      </w:r>
      <w:r>
        <w:rPr/>
        <w:t>trust</w:t>
      </w:r>
      <w:r>
        <w:rPr>
          <w:spacing w:val="-39"/>
        </w:rPr>
        <w:t> </w:t>
      </w:r>
      <w:r>
        <w:rPr/>
        <w:t>account,</w:t>
      </w:r>
      <w:r>
        <w:rPr>
          <w:spacing w:val="-38"/>
        </w:rPr>
        <w:t> </w:t>
      </w:r>
      <w:r>
        <w:rPr/>
        <w:t>the</w:t>
      </w:r>
      <w:r>
        <w:rPr>
          <w:spacing w:val="-37"/>
        </w:rPr>
        <w:t> </w:t>
      </w:r>
      <w:r>
        <w:rPr/>
        <w:t>rural</w:t>
      </w:r>
      <w:r>
        <w:rPr>
          <w:spacing w:val="-37"/>
        </w:rPr>
        <w:t> </w:t>
      </w:r>
      <w:r>
        <w:rPr/>
        <w:t>mobility</w:t>
      </w:r>
      <w:r>
        <w:rPr>
          <w:spacing w:val="-38"/>
        </w:rPr>
        <w:t> </w:t>
      </w:r>
      <w:r>
        <w:rPr/>
        <w:t>grant program</w:t>
      </w:r>
      <w:r>
        <w:rPr>
          <w:spacing w:val="-38"/>
        </w:rPr>
        <w:t> </w:t>
      </w:r>
      <w:r>
        <w:rPr/>
        <w:t>account,</w:t>
      </w:r>
      <w:r>
        <w:rPr>
          <w:spacing w:val="-40"/>
        </w:rPr>
        <w:t> </w:t>
      </w:r>
      <w:r>
        <w:rPr/>
        <w:t>the</w:t>
      </w:r>
      <w:r>
        <w:rPr>
          <w:spacing w:val="-37"/>
        </w:rPr>
        <w:t> </w:t>
      </w:r>
      <w:r>
        <w:rPr/>
        <w:t>rural</w:t>
      </w:r>
      <w:r>
        <w:rPr>
          <w:spacing w:val="-38"/>
        </w:rPr>
        <w:t> </w:t>
      </w:r>
      <w:r>
        <w:rPr/>
        <w:t>Washington</w:t>
      </w:r>
      <w:r>
        <w:rPr>
          <w:spacing w:val="-37"/>
        </w:rPr>
        <w:t> </w:t>
      </w:r>
      <w:r>
        <w:rPr/>
        <w:t>loan</w:t>
      </w:r>
      <w:r>
        <w:rPr>
          <w:spacing w:val="-38"/>
        </w:rPr>
        <w:t> </w:t>
      </w:r>
      <w:r>
        <w:rPr/>
        <w:t>fund,</w:t>
      </w:r>
      <w:r>
        <w:rPr>
          <w:spacing w:val="-37"/>
        </w:rPr>
        <w:t> </w:t>
      </w:r>
      <w:r>
        <w:rPr/>
        <w:t>the</w:t>
      </w:r>
      <w:r>
        <w:rPr>
          <w:spacing w:val="-38"/>
        </w:rPr>
        <w:t> </w:t>
      </w:r>
      <w:r>
        <w:rPr/>
        <w:t>sexual</w:t>
      </w:r>
      <w:r>
        <w:rPr>
          <w:spacing w:val="-38"/>
        </w:rPr>
        <w:t> </w:t>
      </w:r>
      <w:r>
        <w:rPr/>
        <w:t>assault prevention and response account, the site closure account, the skilled nursing facility safety net trust fund, the small city pavement</w:t>
      </w:r>
      <w:r>
        <w:rPr>
          <w:spacing w:val="-22"/>
        </w:rPr>
        <w:t> </w:t>
      </w:r>
      <w:r>
        <w:rPr/>
        <w:t>and</w:t>
      </w:r>
      <w:r>
        <w:rPr>
          <w:spacing w:val="-21"/>
        </w:rPr>
        <w:t> </w:t>
      </w:r>
      <w:r>
        <w:rPr/>
        <w:t>sidewalk</w:t>
      </w:r>
      <w:r>
        <w:rPr>
          <w:spacing w:val="-22"/>
        </w:rPr>
        <w:t> </w:t>
      </w:r>
      <w:r>
        <w:rPr/>
        <w:t>account,</w:t>
      </w:r>
      <w:r>
        <w:rPr>
          <w:spacing w:val="-21"/>
        </w:rPr>
        <w:t> </w:t>
      </w:r>
      <w:r>
        <w:rPr/>
        <w:t>the</w:t>
      </w:r>
      <w:r>
        <w:rPr>
          <w:spacing w:val="-20"/>
        </w:rPr>
        <w:t> </w:t>
      </w:r>
      <w:r>
        <w:rPr/>
        <w:t>special</w:t>
      </w:r>
      <w:r>
        <w:rPr>
          <w:spacing w:val="-21"/>
        </w:rPr>
        <w:t> </w:t>
      </w:r>
      <w:r>
        <w:rPr/>
        <w:t>category</w:t>
      </w:r>
      <w:r>
        <w:rPr>
          <w:spacing w:val="-20"/>
        </w:rPr>
        <w:t> </w:t>
      </w:r>
      <w:r>
        <w:rPr/>
        <w:t>C</w:t>
      </w:r>
      <w:r>
        <w:rPr>
          <w:spacing w:val="-21"/>
        </w:rPr>
        <w:t> </w:t>
      </w:r>
      <w:r>
        <w:rPr/>
        <w:t>account,</w:t>
      </w:r>
      <w:r>
        <w:rPr>
          <w:spacing w:val="-22"/>
        </w:rPr>
        <w:t> </w:t>
      </w:r>
      <w:r>
        <w:rPr/>
        <w:t>the special wildlife account, the state employees' insurance account, the state employees' insurance reserve account, the state investment board expense account, the state investment board commingled trust fund accounts, the state patrol highway account, the</w:t>
      </w:r>
      <w:r>
        <w:rPr>
          <w:spacing w:val="-34"/>
        </w:rPr>
        <w:t> </w:t>
      </w:r>
      <w:r>
        <w:rPr/>
        <w:t>state</w:t>
      </w:r>
      <w:r>
        <w:rPr>
          <w:spacing w:val="-33"/>
        </w:rPr>
        <w:t> </w:t>
      </w:r>
      <w:r>
        <w:rPr/>
        <w:t>route</w:t>
      </w:r>
      <w:r>
        <w:rPr>
          <w:spacing w:val="-34"/>
        </w:rPr>
        <w:t> </w:t>
      </w:r>
      <w:r>
        <w:rPr/>
        <w:t>number</w:t>
      </w:r>
      <w:r>
        <w:rPr>
          <w:spacing w:val="-33"/>
        </w:rPr>
        <w:t> </w:t>
      </w:r>
      <w:r>
        <w:rPr/>
        <w:t>520</w:t>
      </w:r>
      <w:r>
        <w:rPr>
          <w:spacing w:val="-34"/>
        </w:rPr>
        <w:t> </w:t>
      </w:r>
      <w:r>
        <w:rPr/>
        <w:t>civil</w:t>
      </w:r>
      <w:r>
        <w:rPr>
          <w:spacing w:val="-33"/>
        </w:rPr>
        <w:t> </w:t>
      </w:r>
      <w:r>
        <w:rPr/>
        <w:t>penalties</w:t>
      </w:r>
      <w:r>
        <w:rPr>
          <w:spacing w:val="-34"/>
        </w:rPr>
        <w:t> </w:t>
      </w:r>
      <w:r>
        <w:rPr/>
        <w:t>account,</w:t>
      </w:r>
      <w:r>
        <w:rPr>
          <w:spacing w:val="-33"/>
        </w:rPr>
        <w:t> </w:t>
      </w:r>
      <w:r>
        <w:rPr/>
        <w:t>the</w:t>
      </w:r>
      <w:r>
        <w:rPr>
          <w:spacing w:val="-34"/>
        </w:rPr>
        <w:t> </w:t>
      </w:r>
      <w:r>
        <w:rPr/>
        <w:t>state</w:t>
      </w:r>
      <w:r>
        <w:rPr>
          <w:spacing w:val="-33"/>
        </w:rPr>
        <w:t> </w:t>
      </w:r>
      <w:r>
        <w:rPr/>
        <w:t>route number 520 corridor account, the state wildlife account, the supplemental pension account, the Tacoma Narrows toll bridge account, the teachers' retirement system plan 1 account, the teachers' retirement system combined plan 2 and plan 3 account, the</w:t>
      </w:r>
      <w:r>
        <w:rPr>
          <w:spacing w:val="-25"/>
        </w:rPr>
        <w:t> </w:t>
      </w:r>
      <w:r>
        <w:rPr/>
        <w:t>tobacco</w:t>
      </w:r>
      <w:r>
        <w:rPr>
          <w:spacing w:val="-25"/>
        </w:rPr>
        <w:t> </w:t>
      </w:r>
      <w:r>
        <w:rPr/>
        <w:t>prevention</w:t>
      </w:r>
      <w:r>
        <w:rPr>
          <w:spacing w:val="-25"/>
        </w:rPr>
        <w:t> </w:t>
      </w:r>
      <w:r>
        <w:rPr/>
        <w:t>and</w:t>
      </w:r>
      <w:r>
        <w:rPr>
          <w:spacing w:val="-25"/>
        </w:rPr>
        <w:t> </w:t>
      </w:r>
      <w:r>
        <w:rPr/>
        <w:t>control</w:t>
      </w:r>
      <w:r>
        <w:rPr>
          <w:spacing w:val="-23"/>
        </w:rPr>
        <w:t> </w:t>
      </w:r>
      <w:r>
        <w:rPr/>
        <w:t>account,</w:t>
      </w:r>
      <w:r>
        <w:rPr>
          <w:spacing w:val="-25"/>
        </w:rPr>
        <w:t> </w:t>
      </w:r>
      <w:r>
        <w:rPr/>
        <w:t>the</w:t>
      </w:r>
      <w:r>
        <w:rPr>
          <w:spacing w:val="-24"/>
        </w:rPr>
        <w:t> </w:t>
      </w:r>
      <w:r>
        <w:rPr/>
        <w:t>tobacco</w:t>
      </w:r>
      <w:r>
        <w:rPr>
          <w:spacing w:val="-25"/>
        </w:rPr>
        <w:t> </w:t>
      </w:r>
      <w:r>
        <w:rPr/>
        <w:t>settlement account, the toll facility bond retirement account, the transportation 2003 account (nickel account), the transportation equipment</w:t>
      </w:r>
      <w:r>
        <w:rPr>
          <w:spacing w:val="-29"/>
        </w:rPr>
        <w:t> </w:t>
      </w:r>
      <w:r>
        <w:rPr/>
        <w:t>fund,</w:t>
      </w:r>
      <w:r>
        <w:rPr>
          <w:spacing w:val="-28"/>
        </w:rPr>
        <w:t> </w:t>
      </w:r>
      <w:r>
        <w:rPr/>
        <w:t>the</w:t>
      </w:r>
      <w:r>
        <w:rPr>
          <w:spacing w:val="-28"/>
        </w:rPr>
        <w:t> </w:t>
      </w:r>
      <w:r>
        <w:rPr/>
        <w:t>transportation</w:t>
      </w:r>
      <w:r>
        <w:rPr>
          <w:spacing w:val="-26"/>
        </w:rPr>
        <w:t> </w:t>
      </w:r>
      <w:r>
        <w:rPr/>
        <w:t>future</w:t>
      </w:r>
      <w:r>
        <w:rPr>
          <w:spacing w:val="-28"/>
        </w:rPr>
        <w:t> </w:t>
      </w:r>
      <w:r>
        <w:rPr/>
        <w:t>funding</w:t>
      </w:r>
      <w:r>
        <w:rPr>
          <w:spacing w:val="-28"/>
        </w:rPr>
        <w:t> </w:t>
      </w:r>
      <w:r>
        <w:rPr/>
        <w:t>program</w:t>
      </w:r>
      <w:r>
        <w:rPr>
          <w:spacing w:val="-29"/>
        </w:rPr>
        <w:t> </w:t>
      </w:r>
      <w:r>
        <w:rPr/>
        <w:t>account, the transportation improvement account, the transportation improvement board bond retirement account, the transportation infrastructure account, the transportation partnership account, the traumatic brain injury account, the tuition recovery trust fund,</w:t>
      </w:r>
      <w:r>
        <w:rPr>
          <w:spacing w:val="83"/>
        </w:rPr>
        <w:t> </w:t>
      </w:r>
      <w:r>
        <w:rPr/>
        <w:t>the</w:t>
      </w:r>
      <w:r>
        <w:rPr>
          <w:spacing w:val="84"/>
        </w:rPr>
        <w:t> </w:t>
      </w:r>
      <w:r>
        <w:rPr/>
        <w:t>University</w:t>
      </w:r>
      <w:r>
        <w:rPr>
          <w:spacing w:val="84"/>
        </w:rPr>
        <w:t> </w:t>
      </w:r>
      <w:r>
        <w:rPr/>
        <w:t>of</w:t>
      </w:r>
      <w:r>
        <w:rPr>
          <w:spacing w:val="84"/>
        </w:rPr>
        <w:t> </w:t>
      </w:r>
      <w:r>
        <w:rPr/>
        <w:t>Washington</w:t>
      </w:r>
      <w:r>
        <w:rPr>
          <w:spacing w:val="83"/>
        </w:rPr>
        <w:t> </w:t>
      </w:r>
      <w:r>
        <w:rPr/>
        <w:t>bond</w:t>
      </w:r>
      <w:r>
        <w:rPr>
          <w:spacing w:val="84"/>
        </w:rPr>
        <w:t> </w:t>
      </w:r>
      <w:r>
        <w:rPr/>
        <w:t>retirement</w:t>
      </w:r>
      <w:r>
        <w:rPr>
          <w:spacing w:val="84"/>
        </w:rPr>
        <w:t> </w:t>
      </w:r>
      <w:r>
        <w:rPr/>
        <w:t>fund,</w:t>
      </w:r>
      <w:r>
        <w:rPr>
          <w:spacing w:val="84"/>
        </w:rPr>
        <w:t> </w:t>
      </w:r>
      <w:r>
        <w:rPr/>
        <w:t>the</w:t>
      </w:r>
    </w:p>
    <w:p>
      <w:pPr>
        <w:spacing w:after="0" w:line="316" w:lineRule="auto"/>
        <w:sectPr>
          <w:pgSz w:w="12240" w:h="15840"/>
          <w:pgMar w:header="0" w:footer="1277" w:top="1360" w:bottom="1540" w:left="620" w:right="740"/>
        </w:sectPr>
      </w:pPr>
    </w:p>
    <w:p>
      <w:pPr>
        <w:pStyle w:val="Heading5"/>
        <w:spacing w:line="316" w:lineRule="auto" w:before="89"/>
        <w:ind w:firstLine="0"/>
      </w:pPr>
      <w:r>
        <w:rPr/>
        <w:t>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w:t>
      </w:r>
      <w:r>
        <w:rPr>
          <w:spacing w:val="-25"/>
        </w:rPr>
        <w:t> </w:t>
      </w:r>
      <w:r>
        <w:rPr/>
        <w:t>system</w:t>
      </w:r>
      <w:r>
        <w:rPr>
          <w:spacing w:val="-25"/>
        </w:rPr>
        <w:t> </w:t>
      </w:r>
      <w:r>
        <w:rPr/>
        <w:t>plan</w:t>
      </w:r>
      <w:r>
        <w:rPr>
          <w:spacing w:val="-25"/>
        </w:rPr>
        <w:t> </w:t>
      </w:r>
      <w:r>
        <w:rPr/>
        <w:t>1</w:t>
      </w:r>
      <w:r>
        <w:rPr>
          <w:spacing w:val="-25"/>
        </w:rPr>
        <w:t> </w:t>
      </w:r>
      <w:r>
        <w:rPr/>
        <w:t>retirement</w:t>
      </w:r>
      <w:r>
        <w:rPr>
          <w:spacing w:val="-25"/>
        </w:rPr>
        <w:t> </w:t>
      </w:r>
      <w:r>
        <w:rPr/>
        <w:t>account,</w:t>
      </w:r>
      <w:r>
        <w:rPr>
          <w:spacing w:val="-25"/>
        </w:rPr>
        <w:t> </w:t>
      </w:r>
      <w:r>
        <w:rPr/>
        <w:t>the</w:t>
      </w:r>
      <w:r>
        <w:rPr>
          <w:spacing w:val="-22"/>
        </w:rPr>
        <w:t> </w:t>
      </w:r>
      <w:r>
        <w:rPr/>
        <w:t>Washington</w:t>
      </w:r>
      <w:r>
        <w:rPr>
          <w:spacing w:val="-25"/>
        </w:rPr>
        <w:t> </w:t>
      </w:r>
      <w:r>
        <w:rPr/>
        <w:t>law enforcement officers' and firefighters' system plan 2 retirement account,</w:t>
      </w:r>
      <w:r>
        <w:rPr>
          <w:spacing w:val="-25"/>
        </w:rPr>
        <w:t> </w:t>
      </w:r>
      <w:r>
        <w:rPr/>
        <w:t>the</w:t>
      </w:r>
      <w:r>
        <w:rPr>
          <w:spacing w:val="-25"/>
        </w:rPr>
        <w:t> </w:t>
      </w:r>
      <w:r>
        <w:rPr/>
        <w:t>Washington</w:t>
      </w:r>
      <w:r>
        <w:rPr>
          <w:spacing w:val="-25"/>
        </w:rPr>
        <w:t> </w:t>
      </w:r>
      <w:r>
        <w:rPr/>
        <w:t>public</w:t>
      </w:r>
      <w:r>
        <w:rPr>
          <w:spacing w:val="-25"/>
        </w:rPr>
        <w:t> </w:t>
      </w:r>
      <w:r>
        <w:rPr/>
        <w:t>safety</w:t>
      </w:r>
      <w:r>
        <w:rPr>
          <w:spacing w:val="-25"/>
        </w:rPr>
        <w:t> </w:t>
      </w:r>
      <w:r>
        <w:rPr/>
        <w:t>employees'</w:t>
      </w:r>
      <w:r>
        <w:rPr>
          <w:spacing w:val="-25"/>
        </w:rPr>
        <w:t> </w:t>
      </w:r>
      <w:r>
        <w:rPr/>
        <w:t>plan</w:t>
      </w:r>
      <w:r>
        <w:rPr>
          <w:spacing w:val="-24"/>
        </w:rPr>
        <w:t> </w:t>
      </w:r>
      <w:r>
        <w:rPr/>
        <w:t>2</w:t>
      </w:r>
      <w:r>
        <w:rPr>
          <w:spacing w:val="-25"/>
        </w:rPr>
        <w:t> </w:t>
      </w:r>
      <w:r>
        <w:rPr/>
        <w:t>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w:t>
      </w:r>
      <w:r>
        <w:rPr>
          <w:spacing w:val="-7"/>
        </w:rPr>
        <w:t> </w:t>
      </w:r>
      <w:r>
        <w:rPr/>
        <w:t>accounts.</w:t>
      </w:r>
    </w:p>
    <w:p>
      <w:pPr>
        <w:pStyle w:val="Heading5"/>
        <w:numPr>
          <w:ilvl w:val="1"/>
          <w:numId w:val="28"/>
        </w:numPr>
        <w:tabs>
          <w:tab w:pos="2208" w:val="left" w:leader="none"/>
        </w:tabs>
        <w:spacing w:line="316" w:lineRule="auto" w:before="11" w:after="0"/>
        <w:ind w:left="820" w:right="698" w:firstLine="742"/>
        <w:jc w:val="both"/>
      </w:pPr>
      <w:r>
        <w:rPr/>
        <w:t>Any state agency that has independent authority over accounts</w:t>
      </w:r>
      <w:r>
        <w:rPr>
          <w:spacing w:val="-19"/>
        </w:rPr>
        <w:t> </w:t>
      </w:r>
      <w:r>
        <w:rPr/>
        <w:t>or</w:t>
      </w:r>
      <w:r>
        <w:rPr>
          <w:spacing w:val="-19"/>
        </w:rPr>
        <w:t> </w:t>
      </w:r>
      <w:r>
        <w:rPr/>
        <w:t>funds</w:t>
      </w:r>
      <w:r>
        <w:rPr>
          <w:spacing w:val="-16"/>
        </w:rPr>
        <w:t> </w:t>
      </w:r>
      <w:r>
        <w:rPr/>
        <w:t>not</w:t>
      </w:r>
      <w:r>
        <w:rPr>
          <w:spacing w:val="-19"/>
        </w:rPr>
        <w:t> </w:t>
      </w:r>
      <w:r>
        <w:rPr/>
        <w:t>statutorily</w:t>
      </w:r>
      <w:r>
        <w:rPr>
          <w:spacing w:val="-14"/>
        </w:rPr>
        <w:t> </w:t>
      </w:r>
      <w:r>
        <w:rPr/>
        <w:t>required</w:t>
      </w:r>
      <w:r>
        <w:rPr>
          <w:spacing w:val="-18"/>
        </w:rPr>
        <w:t> </w:t>
      </w:r>
      <w:r>
        <w:rPr/>
        <w:t>to</w:t>
      </w:r>
      <w:r>
        <w:rPr>
          <w:spacing w:val="-19"/>
        </w:rPr>
        <w:t> </w:t>
      </w:r>
      <w:r>
        <w:rPr/>
        <w:t>be</w:t>
      </w:r>
      <w:r>
        <w:rPr>
          <w:spacing w:val="-16"/>
        </w:rPr>
        <w:t> </w:t>
      </w:r>
      <w:r>
        <w:rPr/>
        <w:t>held</w:t>
      </w:r>
      <w:r>
        <w:rPr>
          <w:spacing w:val="-19"/>
        </w:rPr>
        <w:t> </w:t>
      </w:r>
      <w:r>
        <w:rPr/>
        <w:t>in</w:t>
      </w:r>
      <w:r>
        <w:rPr>
          <w:spacing w:val="-18"/>
        </w:rPr>
        <w:t> </w:t>
      </w:r>
      <w:r>
        <w:rPr/>
        <w:t>the</w:t>
      </w:r>
      <w:r>
        <w:rPr>
          <w:spacing w:val="-17"/>
        </w:rPr>
        <w:t> </w:t>
      </w:r>
      <w:r>
        <w:rPr/>
        <w:t>state treasury that deposits funds into a fund or account in the state treasury pursuant to an agreement with the office of the state treasurer shall receive its proportionate share of earnings</w:t>
      </w:r>
      <w:r>
        <w:rPr>
          <w:spacing w:val="-55"/>
        </w:rPr>
        <w:t> </w:t>
      </w:r>
      <w:r>
        <w:rPr/>
        <w:t>based upon</w:t>
      </w:r>
      <w:r>
        <w:rPr>
          <w:spacing w:val="-34"/>
        </w:rPr>
        <w:t> </w:t>
      </w:r>
      <w:r>
        <w:rPr/>
        <w:t>each</w:t>
      </w:r>
      <w:r>
        <w:rPr>
          <w:spacing w:val="-34"/>
        </w:rPr>
        <w:t> </w:t>
      </w:r>
      <w:r>
        <w:rPr/>
        <w:t>account's</w:t>
      </w:r>
      <w:r>
        <w:rPr>
          <w:spacing w:val="-33"/>
        </w:rPr>
        <w:t> </w:t>
      </w:r>
      <w:r>
        <w:rPr/>
        <w:t>or</w:t>
      </w:r>
      <w:r>
        <w:rPr>
          <w:spacing w:val="-34"/>
        </w:rPr>
        <w:t> </w:t>
      </w:r>
      <w:r>
        <w:rPr/>
        <w:t>fund's</w:t>
      </w:r>
      <w:r>
        <w:rPr>
          <w:spacing w:val="-33"/>
        </w:rPr>
        <w:t> </w:t>
      </w:r>
      <w:r>
        <w:rPr/>
        <w:t>average</w:t>
      </w:r>
      <w:r>
        <w:rPr>
          <w:spacing w:val="-34"/>
        </w:rPr>
        <w:t> </w:t>
      </w:r>
      <w:r>
        <w:rPr/>
        <w:t>daily</w:t>
      </w:r>
      <w:r>
        <w:rPr>
          <w:spacing w:val="-33"/>
        </w:rPr>
        <w:t> </w:t>
      </w:r>
      <w:r>
        <w:rPr/>
        <w:t>balance</w:t>
      </w:r>
      <w:r>
        <w:rPr>
          <w:spacing w:val="-34"/>
        </w:rPr>
        <w:t> </w:t>
      </w:r>
      <w:r>
        <w:rPr/>
        <w:t>for</w:t>
      </w:r>
      <w:r>
        <w:rPr>
          <w:spacing w:val="-33"/>
        </w:rPr>
        <w:t> </w:t>
      </w:r>
      <w:r>
        <w:rPr/>
        <w:t>the</w:t>
      </w:r>
      <w:r>
        <w:rPr>
          <w:spacing w:val="-34"/>
        </w:rPr>
        <w:t> </w:t>
      </w:r>
      <w:r>
        <w:rPr/>
        <w:t>period.</w:t>
      </w:r>
    </w:p>
    <w:p>
      <w:pPr>
        <w:pStyle w:val="Heading5"/>
        <w:numPr>
          <w:ilvl w:val="0"/>
          <w:numId w:val="28"/>
        </w:numPr>
        <w:tabs>
          <w:tab w:pos="2150" w:val="left" w:leader="none"/>
        </w:tabs>
        <w:spacing w:line="316" w:lineRule="auto" w:before="5" w:after="0"/>
        <w:ind w:left="820" w:right="700" w:firstLine="742"/>
        <w:jc w:val="both"/>
      </w:pPr>
      <w:r>
        <w:rPr/>
        <w:t>In conformance with Article II, section 37 of the state Constitution, no treasury accounts or funds shall be allocated earnings without the specific affirmative directive of this section.</w:t>
      </w:r>
    </w:p>
    <w:p>
      <w:pPr>
        <w:pStyle w:val="Heading5"/>
        <w:spacing w:before="2"/>
        <w:ind w:right="0" w:firstLine="0"/>
      </w:pPr>
      <w:r>
        <w:rPr/>
        <w:t>--- END ---</w:t>
      </w:r>
    </w:p>
    <w:sectPr>
      <w:pgSz w:w="12240" w:h="15840"/>
      <w:pgMar w:header="0" w:footer="1277" w:top="1360" w:bottom="1540" w:left="6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90009pt;margin-top:713.232056pt;width:9.550pt;height:13.7pt;mso-position-horizontal-relative:page;mso-position-vertical-relative:page;z-index:-41680" type="#_x0000_t202" filled="false" stroked="false">
          <v:textbox inset="0,0,0,0">
            <w:txbxContent>
              <w:p>
                <w:pPr>
                  <w:spacing w:before="19"/>
                  <w:ind w:left="40" w:right="0" w:firstLine="0"/>
                  <w:jc w:val="left"/>
                  <w:rPr>
                    <w:sz w:val="20"/>
                  </w:rPr>
                </w:pPr>
                <w:r>
                  <w:rPr/>
                  <w:fldChar w:fldCharType="begin"/>
                </w:r>
                <w:r>
                  <w:rPr>
                    <w:color w:val="252525"/>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98.491455pt;width:422.05pt;height:28.45pt;mso-position-horizontal-relative:page;mso-position-vertical-relative:page;z-index:-41656" type="#_x0000_t202" filled="false" stroked="false">
          <v:textbox inset="0,0,0,0">
            <w:txbxContent>
              <w:p>
                <w:pPr>
                  <w:spacing w:before="15"/>
                  <w:ind w:left="20" w:right="0" w:firstLine="0"/>
                  <w:jc w:val="left"/>
                  <w:rPr>
                    <w:sz w:val="20"/>
                  </w:rPr>
                </w:pPr>
                <w:r>
                  <w:rPr>
                    <w:rFonts w:ascii="Times New Roman"/>
                    <w:position w:val="9"/>
                    <w:sz w:val="16"/>
                  </w:rPr>
                  <w:t>3 </w:t>
                </w:r>
                <w:r>
                  <w:rPr>
                    <w:sz w:val="20"/>
                  </w:rPr>
                  <w:t>Department of Health publication 78945, available at </w:t>
                </w:r>
                <w:hyperlink r:id="rId1">
                  <w:r>
                    <w:rPr>
                      <w:sz w:val="20"/>
                    </w:rPr>
                    <w:t>http://www.doh.wa.gov/healthassessment</w:t>
                  </w:r>
                </w:hyperlink>
              </w:p>
              <w:p>
                <w:pPr>
                  <w:spacing w:before="15"/>
                  <w:ind w:left="959" w:right="0" w:firstLine="0"/>
                  <w:jc w:val="center"/>
                  <w:rPr>
                    <w:sz w:val="20"/>
                  </w:rPr>
                </w:pPr>
                <w:r>
                  <w:rPr/>
                  <w:fldChar w:fldCharType="begin"/>
                </w:r>
                <w:r>
                  <w:rPr>
                    <w:color w:val="252525"/>
                    <w:w w:val="99"/>
                    <w:sz w:val="20"/>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88.63208pt;width:420.75pt;height:13.7pt;mso-position-horizontal-relative:page;mso-position-vertical-relative:page;z-index:-41632" type="#_x0000_t202" filled="false" stroked="false">
          <v:textbox inset="0,0,0,0">
            <w:txbxContent>
              <w:p>
                <w:pPr>
                  <w:spacing w:before="19"/>
                  <w:ind w:left="20" w:right="0" w:firstLine="0"/>
                  <w:jc w:val="left"/>
                  <w:rPr>
                    <w:sz w:val="20"/>
                  </w:rPr>
                </w:pPr>
                <w:r>
                  <w:rPr>
                    <w:position w:val="5"/>
                    <w:sz w:val="13"/>
                  </w:rPr>
                  <w:t>5 </w:t>
                </w:r>
                <w:r>
                  <w:rPr>
                    <w:sz w:val="20"/>
                  </w:rPr>
                  <w:t>Department of Health publication 78945, available at </w:t>
                </w:r>
                <w:hyperlink r:id="rId1">
                  <w:r>
                    <w:rPr>
                      <w:sz w:val="20"/>
                    </w:rPr>
                    <w:t>http://www.doh.wa.gov/healthassessment</w:t>
                  </w:r>
                </w:hyperlink>
              </w:p>
            </w:txbxContent>
          </v:textbox>
          <w10:wrap type="none"/>
        </v:shape>
      </w:pict>
    </w:r>
    <w:r>
      <w:rPr/>
      <w:pict>
        <v:shape style="position:absolute;margin-left:301.290009pt;margin-top:713.232056pt;width:9.550pt;height:13.7pt;mso-position-horizontal-relative:page;mso-position-vertical-relative:page;z-index:-41608" type="#_x0000_t202" filled="false" stroked="false">
          <v:textbox inset="0,0,0,0">
            <w:txbxContent>
              <w:p>
                <w:pPr>
                  <w:spacing w:before="19"/>
                  <w:ind w:left="40" w:right="0" w:firstLine="0"/>
                  <w:jc w:val="left"/>
                  <w:rPr>
                    <w:sz w:val="20"/>
                  </w:rPr>
                </w:pPr>
                <w:r>
                  <w:rPr/>
                  <w:fldChar w:fldCharType="begin"/>
                </w:r>
                <w:r>
                  <w:rPr>
                    <w:color w:val="252525"/>
                    <w:w w:val="99"/>
                    <w:sz w:val="20"/>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29999pt;margin-top:713.232056pt;width:15.05pt;height:13.7pt;mso-position-horizontal-relative:page;mso-position-vertical-relative:page;z-index:-41584" type="#_x0000_t202" filled="false" stroked="false">
          <v:textbox inset="0,0,0,0">
            <w:txbxContent>
              <w:p>
                <w:pPr>
                  <w:spacing w:before="19"/>
                  <w:ind w:left="40" w:right="0" w:firstLine="0"/>
                  <w:jc w:val="left"/>
                  <w:rPr>
                    <w:sz w:val="20"/>
                  </w:rPr>
                </w:pPr>
                <w:r>
                  <w:rPr/>
                  <w:fldChar w:fldCharType="begin"/>
                </w:r>
                <w:r>
                  <w:rPr>
                    <w:color w:val="252525"/>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820" w:hanging="605"/>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820" w:hanging="646"/>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832" w:hanging="646"/>
      </w:pPr>
      <w:rPr>
        <w:rFonts w:hint="default"/>
        <w:lang w:val="en-us" w:eastAsia="en-us" w:bidi="en-us"/>
      </w:rPr>
    </w:lvl>
    <w:lvl w:ilvl="3">
      <w:start w:val="0"/>
      <w:numFmt w:val="bullet"/>
      <w:lvlText w:val="•"/>
      <w:lvlJc w:val="left"/>
      <w:pPr>
        <w:ind w:left="3838" w:hanging="646"/>
      </w:pPr>
      <w:rPr>
        <w:rFonts w:hint="default"/>
        <w:lang w:val="en-us" w:eastAsia="en-us" w:bidi="en-us"/>
      </w:rPr>
    </w:lvl>
    <w:lvl w:ilvl="4">
      <w:start w:val="0"/>
      <w:numFmt w:val="bullet"/>
      <w:lvlText w:val="•"/>
      <w:lvlJc w:val="left"/>
      <w:pPr>
        <w:ind w:left="4844" w:hanging="646"/>
      </w:pPr>
      <w:rPr>
        <w:rFonts w:hint="default"/>
        <w:lang w:val="en-us" w:eastAsia="en-us" w:bidi="en-us"/>
      </w:rPr>
    </w:lvl>
    <w:lvl w:ilvl="5">
      <w:start w:val="0"/>
      <w:numFmt w:val="bullet"/>
      <w:lvlText w:val="•"/>
      <w:lvlJc w:val="left"/>
      <w:pPr>
        <w:ind w:left="5850" w:hanging="646"/>
      </w:pPr>
      <w:rPr>
        <w:rFonts w:hint="default"/>
        <w:lang w:val="en-us" w:eastAsia="en-us" w:bidi="en-us"/>
      </w:rPr>
    </w:lvl>
    <w:lvl w:ilvl="6">
      <w:start w:val="0"/>
      <w:numFmt w:val="bullet"/>
      <w:lvlText w:val="•"/>
      <w:lvlJc w:val="left"/>
      <w:pPr>
        <w:ind w:left="6856" w:hanging="646"/>
      </w:pPr>
      <w:rPr>
        <w:rFonts w:hint="default"/>
        <w:lang w:val="en-us" w:eastAsia="en-us" w:bidi="en-us"/>
      </w:rPr>
    </w:lvl>
    <w:lvl w:ilvl="7">
      <w:start w:val="0"/>
      <w:numFmt w:val="bullet"/>
      <w:lvlText w:val="•"/>
      <w:lvlJc w:val="left"/>
      <w:pPr>
        <w:ind w:left="7862" w:hanging="646"/>
      </w:pPr>
      <w:rPr>
        <w:rFonts w:hint="default"/>
        <w:lang w:val="en-us" w:eastAsia="en-us" w:bidi="en-us"/>
      </w:rPr>
    </w:lvl>
    <w:lvl w:ilvl="8">
      <w:start w:val="0"/>
      <w:numFmt w:val="bullet"/>
      <w:lvlText w:val="•"/>
      <w:lvlJc w:val="left"/>
      <w:pPr>
        <w:ind w:left="8868" w:hanging="646"/>
      </w:pPr>
      <w:rPr>
        <w:rFonts w:hint="default"/>
        <w:lang w:val="en-us" w:eastAsia="en-us" w:bidi="en-us"/>
      </w:rPr>
    </w:lvl>
  </w:abstractNum>
  <w:abstractNum w:abstractNumId="26">
    <w:multiLevelType w:val="hybridMultilevel"/>
    <w:lvl w:ilvl="0">
      <w:start w:val="2"/>
      <w:numFmt w:val="decimal"/>
      <w:lvlText w:val="(%1)"/>
      <w:lvlJc w:val="left"/>
      <w:pPr>
        <w:ind w:left="820" w:hanging="608"/>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608"/>
      </w:pPr>
      <w:rPr>
        <w:rFonts w:hint="default"/>
        <w:lang w:val="en-us" w:eastAsia="en-us" w:bidi="en-us"/>
      </w:rPr>
    </w:lvl>
    <w:lvl w:ilvl="2">
      <w:start w:val="0"/>
      <w:numFmt w:val="bullet"/>
      <w:lvlText w:val="•"/>
      <w:lvlJc w:val="left"/>
      <w:pPr>
        <w:ind w:left="2832" w:hanging="608"/>
      </w:pPr>
      <w:rPr>
        <w:rFonts w:hint="default"/>
        <w:lang w:val="en-us" w:eastAsia="en-us" w:bidi="en-us"/>
      </w:rPr>
    </w:lvl>
    <w:lvl w:ilvl="3">
      <w:start w:val="0"/>
      <w:numFmt w:val="bullet"/>
      <w:lvlText w:val="•"/>
      <w:lvlJc w:val="left"/>
      <w:pPr>
        <w:ind w:left="3838" w:hanging="608"/>
      </w:pPr>
      <w:rPr>
        <w:rFonts w:hint="default"/>
        <w:lang w:val="en-us" w:eastAsia="en-us" w:bidi="en-us"/>
      </w:rPr>
    </w:lvl>
    <w:lvl w:ilvl="4">
      <w:start w:val="0"/>
      <w:numFmt w:val="bullet"/>
      <w:lvlText w:val="•"/>
      <w:lvlJc w:val="left"/>
      <w:pPr>
        <w:ind w:left="4844" w:hanging="608"/>
      </w:pPr>
      <w:rPr>
        <w:rFonts w:hint="default"/>
        <w:lang w:val="en-us" w:eastAsia="en-us" w:bidi="en-us"/>
      </w:rPr>
    </w:lvl>
    <w:lvl w:ilvl="5">
      <w:start w:val="0"/>
      <w:numFmt w:val="bullet"/>
      <w:lvlText w:val="•"/>
      <w:lvlJc w:val="left"/>
      <w:pPr>
        <w:ind w:left="5850" w:hanging="608"/>
      </w:pPr>
      <w:rPr>
        <w:rFonts w:hint="default"/>
        <w:lang w:val="en-us" w:eastAsia="en-us" w:bidi="en-us"/>
      </w:rPr>
    </w:lvl>
    <w:lvl w:ilvl="6">
      <w:start w:val="0"/>
      <w:numFmt w:val="bullet"/>
      <w:lvlText w:val="•"/>
      <w:lvlJc w:val="left"/>
      <w:pPr>
        <w:ind w:left="6856" w:hanging="608"/>
      </w:pPr>
      <w:rPr>
        <w:rFonts w:hint="default"/>
        <w:lang w:val="en-us" w:eastAsia="en-us" w:bidi="en-us"/>
      </w:rPr>
    </w:lvl>
    <w:lvl w:ilvl="7">
      <w:start w:val="0"/>
      <w:numFmt w:val="bullet"/>
      <w:lvlText w:val="•"/>
      <w:lvlJc w:val="left"/>
      <w:pPr>
        <w:ind w:left="7862" w:hanging="608"/>
      </w:pPr>
      <w:rPr>
        <w:rFonts w:hint="default"/>
        <w:lang w:val="en-us" w:eastAsia="en-us" w:bidi="en-us"/>
      </w:rPr>
    </w:lvl>
    <w:lvl w:ilvl="8">
      <w:start w:val="0"/>
      <w:numFmt w:val="bullet"/>
      <w:lvlText w:val="•"/>
      <w:lvlJc w:val="left"/>
      <w:pPr>
        <w:ind w:left="8868" w:hanging="608"/>
      </w:pPr>
      <w:rPr>
        <w:rFonts w:hint="default"/>
        <w:lang w:val="en-us" w:eastAsia="en-us" w:bidi="en-us"/>
      </w:rPr>
    </w:lvl>
  </w:abstractNum>
  <w:abstractNum w:abstractNumId="25">
    <w:multiLevelType w:val="hybridMultilevel"/>
    <w:lvl w:ilvl="0">
      <w:start w:val="3"/>
      <w:numFmt w:val="upperLetter"/>
      <w:lvlText w:val="(%1)"/>
      <w:lvlJc w:val="left"/>
      <w:pPr>
        <w:ind w:left="820" w:hanging="55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557"/>
      </w:pPr>
      <w:rPr>
        <w:rFonts w:hint="default"/>
        <w:lang w:val="en-us" w:eastAsia="en-us" w:bidi="en-us"/>
      </w:rPr>
    </w:lvl>
    <w:lvl w:ilvl="2">
      <w:start w:val="0"/>
      <w:numFmt w:val="bullet"/>
      <w:lvlText w:val="•"/>
      <w:lvlJc w:val="left"/>
      <w:pPr>
        <w:ind w:left="2832" w:hanging="557"/>
      </w:pPr>
      <w:rPr>
        <w:rFonts w:hint="default"/>
        <w:lang w:val="en-us" w:eastAsia="en-us" w:bidi="en-us"/>
      </w:rPr>
    </w:lvl>
    <w:lvl w:ilvl="3">
      <w:start w:val="0"/>
      <w:numFmt w:val="bullet"/>
      <w:lvlText w:val="•"/>
      <w:lvlJc w:val="left"/>
      <w:pPr>
        <w:ind w:left="3838" w:hanging="557"/>
      </w:pPr>
      <w:rPr>
        <w:rFonts w:hint="default"/>
        <w:lang w:val="en-us" w:eastAsia="en-us" w:bidi="en-us"/>
      </w:rPr>
    </w:lvl>
    <w:lvl w:ilvl="4">
      <w:start w:val="0"/>
      <w:numFmt w:val="bullet"/>
      <w:lvlText w:val="•"/>
      <w:lvlJc w:val="left"/>
      <w:pPr>
        <w:ind w:left="4844" w:hanging="557"/>
      </w:pPr>
      <w:rPr>
        <w:rFonts w:hint="default"/>
        <w:lang w:val="en-us" w:eastAsia="en-us" w:bidi="en-us"/>
      </w:rPr>
    </w:lvl>
    <w:lvl w:ilvl="5">
      <w:start w:val="0"/>
      <w:numFmt w:val="bullet"/>
      <w:lvlText w:val="•"/>
      <w:lvlJc w:val="left"/>
      <w:pPr>
        <w:ind w:left="5850" w:hanging="557"/>
      </w:pPr>
      <w:rPr>
        <w:rFonts w:hint="default"/>
        <w:lang w:val="en-us" w:eastAsia="en-us" w:bidi="en-us"/>
      </w:rPr>
    </w:lvl>
    <w:lvl w:ilvl="6">
      <w:start w:val="0"/>
      <w:numFmt w:val="bullet"/>
      <w:lvlText w:val="•"/>
      <w:lvlJc w:val="left"/>
      <w:pPr>
        <w:ind w:left="6856" w:hanging="557"/>
      </w:pPr>
      <w:rPr>
        <w:rFonts w:hint="default"/>
        <w:lang w:val="en-us" w:eastAsia="en-us" w:bidi="en-us"/>
      </w:rPr>
    </w:lvl>
    <w:lvl w:ilvl="7">
      <w:start w:val="0"/>
      <w:numFmt w:val="bullet"/>
      <w:lvlText w:val="•"/>
      <w:lvlJc w:val="left"/>
      <w:pPr>
        <w:ind w:left="7862" w:hanging="557"/>
      </w:pPr>
      <w:rPr>
        <w:rFonts w:hint="default"/>
        <w:lang w:val="en-us" w:eastAsia="en-us" w:bidi="en-us"/>
      </w:rPr>
    </w:lvl>
    <w:lvl w:ilvl="8">
      <w:start w:val="0"/>
      <w:numFmt w:val="bullet"/>
      <w:lvlText w:val="•"/>
      <w:lvlJc w:val="left"/>
      <w:pPr>
        <w:ind w:left="8868" w:hanging="557"/>
      </w:pPr>
      <w:rPr>
        <w:rFonts w:hint="default"/>
        <w:lang w:val="en-us" w:eastAsia="en-us" w:bidi="en-us"/>
      </w:rPr>
    </w:lvl>
  </w:abstractNum>
  <w:abstractNum w:abstractNumId="24">
    <w:multiLevelType w:val="hybridMultilevel"/>
    <w:lvl w:ilvl="0">
      <w:start w:val="1"/>
      <w:numFmt w:val="lowerRoman"/>
      <w:lvlText w:val="(%1)"/>
      <w:lvlJc w:val="left"/>
      <w:pPr>
        <w:ind w:left="820" w:hanging="749"/>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749"/>
      </w:pPr>
      <w:rPr>
        <w:rFonts w:hint="default"/>
        <w:lang w:val="en-us" w:eastAsia="en-us" w:bidi="en-us"/>
      </w:rPr>
    </w:lvl>
    <w:lvl w:ilvl="2">
      <w:start w:val="0"/>
      <w:numFmt w:val="bullet"/>
      <w:lvlText w:val="•"/>
      <w:lvlJc w:val="left"/>
      <w:pPr>
        <w:ind w:left="2832" w:hanging="749"/>
      </w:pPr>
      <w:rPr>
        <w:rFonts w:hint="default"/>
        <w:lang w:val="en-us" w:eastAsia="en-us" w:bidi="en-us"/>
      </w:rPr>
    </w:lvl>
    <w:lvl w:ilvl="3">
      <w:start w:val="0"/>
      <w:numFmt w:val="bullet"/>
      <w:lvlText w:val="•"/>
      <w:lvlJc w:val="left"/>
      <w:pPr>
        <w:ind w:left="3838" w:hanging="749"/>
      </w:pPr>
      <w:rPr>
        <w:rFonts w:hint="default"/>
        <w:lang w:val="en-us" w:eastAsia="en-us" w:bidi="en-us"/>
      </w:rPr>
    </w:lvl>
    <w:lvl w:ilvl="4">
      <w:start w:val="0"/>
      <w:numFmt w:val="bullet"/>
      <w:lvlText w:val="•"/>
      <w:lvlJc w:val="left"/>
      <w:pPr>
        <w:ind w:left="4844" w:hanging="749"/>
      </w:pPr>
      <w:rPr>
        <w:rFonts w:hint="default"/>
        <w:lang w:val="en-us" w:eastAsia="en-us" w:bidi="en-us"/>
      </w:rPr>
    </w:lvl>
    <w:lvl w:ilvl="5">
      <w:start w:val="0"/>
      <w:numFmt w:val="bullet"/>
      <w:lvlText w:val="•"/>
      <w:lvlJc w:val="left"/>
      <w:pPr>
        <w:ind w:left="5850" w:hanging="749"/>
      </w:pPr>
      <w:rPr>
        <w:rFonts w:hint="default"/>
        <w:lang w:val="en-us" w:eastAsia="en-us" w:bidi="en-us"/>
      </w:rPr>
    </w:lvl>
    <w:lvl w:ilvl="6">
      <w:start w:val="0"/>
      <w:numFmt w:val="bullet"/>
      <w:lvlText w:val="•"/>
      <w:lvlJc w:val="left"/>
      <w:pPr>
        <w:ind w:left="6856" w:hanging="749"/>
      </w:pPr>
      <w:rPr>
        <w:rFonts w:hint="default"/>
        <w:lang w:val="en-us" w:eastAsia="en-us" w:bidi="en-us"/>
      </w:rPr>
    </w:lvl>
    <w:lvl w:ilvl="7">
      <w:start w:val="0"/>
      <w:numFmt w:val="bullet"/>
      <w:lvlText w:val="•"/>
      <w:lvlJc w:val="left"/>
      <w:pPr>
        <w:ind w:left="7862" w:hanging="749"/>
      </w:pPr>
      <w:rPr>
        <w:rFonts w:hint="default"/>
        <w:lang w:val="en-us" w:eastAsia="en-us" w:bidi="en-us"/>
      </w:rPr>
    </w:lvl>
    <w:lvl w:ilvl="8">
      <w:start w:val="0"/>
      <w:numFmt w:val="bullet"/>
      <w:lvlText w:val="•"/>
      <w:lvlJc w:val="left"/>
      <w:pPr>
        <w:ind w:left="8868" w:hanging="749"/>
      </w:pPr>
      <w:rPr>
        <w:rFonts w:hint="default"/>
        <w:lang w:val="en-us" w:eastAsia="en-us" w:bidi="en-us"/>
      </w:rPr>
    </w:lvl>
  </w:abstractNum>
  <w:abstractNum w:abstractNumId="23">
    <w:multiLevelType w:val="hybridMultilevel"/>
    <w:lvl w:ilvl="0">
      <w:start w:val="1"/>
      <w:numFmt w:val="lowerLetter"/>
      <w:lvlText w:val="(%1)"/>
      <w:lvlJc w:val="left"/>
      <w:pPr>
        <w:ind w:left="820" w:hanging="576"/>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576"/>
      </w:pPr>
      <w:rPr>
        <w:rFonts w:hint="default"/>
        <w:lang w:val="en-us" w:eastAsia="en-us" w:bidi="en-us"/>
      </w:rPr>
    </w:lvl>
    <w:lvl w:ilvl="2">
      <w:start w:val="0"/>
      <w:numFmt w:val="bullet"/>
      <w:lvlText w:val="•"/>
      <w:lvlJc w:val="left"/>
      <w:pPr>
        <w:ind w:left="2832" w:hanging="576"/>
      </w:pPr>
      <w:rPr>
        <w:rFonts w:hint="default"/>
        <w:lang w:val="en-us" w:eastAsia="en-us" w:bidi="en-us"/>
      </w:rPr>
    </w:lvl>
    <w:lvl w:ilvl="3">
      <w:start w:val="0"/>
      <w:numFmt w:val="bullet"/>
      <w:lvlText w:val="•"/>
      <w:lvlJc w:val="left"/>
      <w:pPr>
        <w:ind w:left="3838" w:hanging="576"/>
      </w:pPr>
      <w:rPr>
        <w:rFonts w:hint="default"/>
        <w:lang w:val="en-us" w:eastAsia="en-us" w:bidi="en-us"/>
      </w:rPr>
    </w:lvl>
    <w:lvl w:ilvl="4">
      <w:start w:val="0"/>
      <w:numFmt w:val="bullet"/>
      <w:lvlText w:val="•"/>
      <w:lvlJc w:val="left"/>
      <w:pPr>
        <w:ind w:left="4844" w:hanging="576"/>
      </w:pPr>
      <w:rPr>
        <w:rFonts w:hint="default"/>
        <w:lang w:val="en-us" w:eastAsia="en-us" w:bidi="en-us"/>
      </w:rPr>
    </w:lvl>
    <w:lvl w:ilvl="5">
      <w:start w:val="0"/>
      <w:numFmt w:val="bullet"/>
      <w:lvlText w:val="•"/>
      <w:lvlJc w:val="left"/>
      <w:pPr>
        <w:ind w:left="5850" w:hanging="576"/>
      </w:pPr>
      <w:rPr>
        <w:rFonts w:hint="default"/>
        <w:lang w:val="en-us" w:eastAsia="en-us" w:bidi="en-us"/>
      </w:rPr>
    </w:lvl>
    <w:lvl w:ilvl="6">
      <w:start w:val="0"/>
      <w:numFmt w:val="bullet"/>
      <w:lvlText w:val="•"/>
      <w:lvlJc w:val="left"/>
      <w:pPr>
        <w:ind w:left="6856" w:hanging="576"/>
      </w:pPr>
      <w:rPr>
        <w:rFonts w:hint="default"/>
        <w:lang w:val="en-us" w:eastAsia="en-us" w:bidi="en-us"/>
      </w:rPr>
    </w:lvl>
    <w:lvl w:ilvl="7">
      <w:start w:val="0"/>
      <w:numFmt w:val="bullet"/>
      <w:lvlText w:val="•"/>
      <w:lvlJc w:val="left"/>
      <w:pPr>
        <w:ind w:left="7862" w:hanging="576"/>
      </w:pPr>
      <w:rPr>
        <w:rFonts w:hint="default"/>
        <w:lang w:val="en-us" w:eastAsia="en-us" w:bidi="en-us"/>
      </w:rPr>
    </w:lvl>
    <w:lvl w:ilvl="8">
      <w:start w:val="0"/>
      <w:numFmt w:val="bullet"/>
      <w:lvlText w:val="•"/>
      <w:lvlJc w:val="left"/>
      <w:pPr>
        <w:ind w:left="8868" w:hanging="576"/>
      </w:pPr>
      <w:rPr>
        <w:rFonts w:hint="default"/>
        <w:lang w:val="en-us" w:eastAsia="en-us" w:bidi="en-us"/>
      </w:rPr>
    </w:lvl>
  </w:abstractNum>
  <w:abstractNum w:abstractNumId="22">
    <w:multiLevelType w:val="hybridMultilevel"/>
    <w:lvl w:ilvl="0">
      <w:start w:val="1"/>
      <w:numFmt w:val="lowerLetter"/>
      <w:lvlText w:val="(%1)"/>
      <w:lvlJc w:val="left"/>
      <w:pPr>
        <w:ind w:left="820" w:hanging="60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605"/>
      </w:pPr>
      <w:rPr>
        <w:rFonts w:hint="default"/>
        <w:lang w:val="en-us" w:eastAsia="en-us" w:bidi="en-us"/>
      </w:rPr>
    </w:lvl>
    <w:lvl w:ilvl="2">
      <w:start w:val="0"/>
      <w:numFmt w:val="bullet"/>
      <w:lvlText w:val="•"/>
      <w:lvlJc w:val="left"/>
      <w:pPr>
        <w:ind w:left="2832" w:hanging="605"/>
      </w:pPr>
      <w:rPr>
        <w:rFonts w:hint="default"/>
        <w:lang w:val="en-us" w:eastAsia="en-us" w:bidi="en-us"/>
      </w:rPr>
    </w:lvl>
    <w:lvl w:ilvl="3">
      <w:start w:val="0"/>
      <w:numFmt w:val="bullet"/>
      <w:lvlText w:val="•"/>
      <w:lvlJc w:val="left"/>
      <w:pPr>
        <w:ind w:left="3838" w:hanging="605"/>
      </w:pPr>
      <w:rPr>
        <w:rFonts w:hint="default"/>
        <w:lang w:val="en-us" w:eastAsia="en-us" w:bidi="en-us"/>
      </w:rPr>
    </w:lvl>
    <w:lvl w:ilvl="4">
      <w:start w:val="0"/>
      <w:numFmt w:val="bullet"/>
      <w:lvlText w:val="•"/>
      <w:lvlJc w:val="left"/>
      <w:pPr>
        <w:ind w:left="4844" w:hanging="605"/>
      </w:pPr>
      <w:rPr>
        <w:rFonts w:hint="default"/>
        <w:lang w:val="en-us" w:eastAsia="en-us" w:bidi="en-us"/>
      </w:rPr>
    </w:lvl>
    <w:lvl w:ilvl="5">
      <w:start w:val="0"/>
      <w:numFmt w:val="bullet"/>
      <w:lvlText w:val="•"/>
      <w:lvlJc w:val="left"/>
      <w:pPr>
        <w:ind w:left="5850" w:hanging="605"/>
      </w:pPr>
      <w:rPr>
        <w:rFonts w:hint="default"/>
        <w:lang w:val="en-us" w:eastAsia="en-us" w:bidi="en-us"/>
      </w:rPr>
    </w:lvl>
    <w:lvl w:ilvl="6">
      <w:start w:val="0"/>
      <w:numFmt w:val="bullet"/>
      <w:lvlText w:val="•"/>
      <w:lvlJc w:val="left"/>
      <w:pPr>
        <w:ind w:left="6856" w:hanging="605"/>
      </w:pPr>
      <w:rPr>
        <w:rFonts w:hint="default"/>
        <w:lang w:val="en-us" w:eastAsia="en-us" w:bidi="en-us"/>
      </w:rPr>
    </w:lvl>
    <w:lvl w:ilvl="7">
      <w:start w:val="0"/>
      <w:numFmt w:val="bullet"/>
      <w:lvlText w:val="•"/>
      <w:lvlJc w:val="left"/>
      <w:pPr>
        <w:ind w:left="7862" w:hanging="605"/>
      </w:pPr>
      <w:rPr>
        <w:rFonts w:hint="default"/>
        <w:lang w:val="en-us" w:eastAsia="en-us" w:bidi="en-us"/>
      </w:rPr>
    </w:lvl>
    <w:lvl w:ilvl="8">
      <w:start w:val="0"/>
      <w:numFmt w:val="bullet"/>
      <w:lvlText w:val="•"/>
      <w:lvlJc w:val="left"/>
      <w:pPr>
        <w:ind w:left="8868" w:hanging="605"/>
      </w:pPr>
      <w:rPr>
        <w:rFonts w:hint="default"/>
        <w:lang w:val="en-us" w:eastAsia="en-us" w:bidi="en-us"/>
      </w:rPr>
    </w:lvl>
  </w:abstractNum>
  <w:abstractNum w:abstractNumId="21">
    <w:multiLevelType w:val="hybridMultilevel"/>
    <w:lvl w:ilvl="0">
      <w:start w:val="1"/>
      <w:numFmt w:val="lowerLetter"/>
      <w:lvlText w:val="(%1)"/>
      <w:lvlJc w:val="left"/>
      <w:pPr>
        <w:ind w:left="820" w:hanging="639"/>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639"/>
      </w:pPr>
      <w:rPr>
        <w:rFonts w:hint="default"/>
        <w:lang w:val="en-us" w:eastAsia="en-us" w:bidi="en-us"/>
      </w:rPr>
    </w:lvl>
    <w:lvl w:ilvl="2">
      <w:start w:val="0"/>
      <w:numFmt w:val="bullet"/>
      <w:lvlText w:val="•"/>
      <w:lvlJc w:val="left"/>
      <w:pPr>
        <w:ind w:left="2832" w:hanging="639"/>
      </w:pPr>
      <w:rPr>
        <w:rFonts w:hint="default"/>
        <w:lang w:val="en-us" w:eastAsia="en-us" w:bidi="en-us"/>
      </w:rPr>
    </w:lvl>
    <w:lvl w:ilvl="3">
      <w:start w:val="0"/>
      <w:numFmt w:val="bullet"/>
      <w:lvlText w:val="•"/>
      <w:lvlJc w:val="left"/>
      <w:pPr>
        <w:ind w:left="3838" w:hanging="639"/>
      </w:pPr>
      <w:rPr>
        <w:rFonts w:hint="default"/>
        <w:lang w:val="en-us" w:eastAsia="en-us" w:bidi="en-us"/>
      </w:rPr>
    </w:lvl>
    <w:lvl w:ilvl="4">
      <w:start w:val="0"/>
      <w:numFmt w:val="bullet"/>
      <w:lvlText w:val="•"/>
      <w:lvlJc w:val="left"/>
      <w:pPr>
        <w:ind w:left="4844" w:hanging="639"/>
      </w:pPr>
      <w:rPr>
        <w:rFonts w:hint="default"/>
        <w:lang w:val="en-us" w:eastAsia="en-us" w:bidi="en-us"/>
      </w:rPr>
    </w:lvl>
    <w:lvl w:ilvl="5">
      <w:start w:val="0"/>
      <w:numFmt w:val="bullet"/>
      <w:lvlText w:val="•"/>
      <w:lvlJc w:val="left"/>
      <w:pPr>
        <w:ind w:left="5850" w:hanging="639"/>
      </w:pPr>
      <w:rPr>
        <w:rFonts w:hint="default"/>
        <w:lang w:val="en-us" w:eastAsia="en-us" w:bidi="en-us"/>
      </w:rPr>
    </w:lvl>
    <w:lvl w:ilvl="6">
      <w:start w:val="0"/>
      <w:numFmt w:val="bullet"/>
      <w:lvlText w:val="•"/>
      <w:lvlJc w:val="left"/>
      <w:pPr>
        <w:ind w:left="6856" w:hanging="639"/>
      </w:pPr>
      <w:rPr>
        <w:rFonts w:hint="default"/>
        <w:lang w:val="en-us" w:eastAsia="en-us" w:bidi="en-us"/>
      </w:rPr>
    </w:lvl>
    <w:lvl w:ilvl="7">
      <w:start w:val="0"/>
      <w:numFmt w:val="bullet"/>
      <w:lvlText w:val="•"/>
      <w:lvlJc w:val="left"/>
      <w:pPr>
        <w:ind w:left="7862" w:hanging="639"/>
      </w:pPr>
      <w:rPr>
        <w:rFonts w:hint="default"/>
        <w:lang w:val="en-us" w:eastAsia="en-us" w:bidi="en-us"/>
      </w:rPr>
    </w:lvl>
    <w:lvl w:ilvl="8">
      <w:start w:val="0"/>
      <w:numFmt w:val="bullet"/>
      <w:lvlText w:val="•"/>
      <w:lvlJc w:val="left"/>
      <w:pPr>
        <w:ind w:left="8868" w:hanging="639"/>
      </w:pPr>
      <w:rPr>
        <w:rFonts w:hint="default"/>
        <w:lang w:val="en-us" w:eastAsia="en-us" w:bidi="en-us"/>
      </w:rPr>
    </w:lvl>
  </w:abstractNum>
  <w:abstractNum w:abstractNumId="20">
    <w:multiLevelType w:val="hybridMultilevel"/>
    <w:lvl w:ilvl="0">
      <w:start w:val="2"/>
      <w:numFmt w:val="decimal"/>
      <w:lvlText w:val="(%1)"/>
      <w:lvlJc w:val="left"/>
      <w:pPr>
        <w:ind w:left="820" w:hanging="591"/>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820" w:hanging="591"/>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832" w:hanging="591"/>
      </w:pPr>
      <w:rPr>
        <w:rFonts w:hint="default"/>
        <w:lang w:val="en-us" w:eastAsia="en-us" w:bidi="en-us"/>
      </w:rPr>
    </w:lvl>
    <w:lvl w:ilvl="3">
      <w:start w:val="0"/>
      <w:numFmt w:val="bullet"/>
      <w:lvlText w:val="•"/>
      <w:lvlJc w:val="left"/>
      <w:pPr>
        <w:ind w:left="3838" w:hanging="591"/>
      </w:pPr>
      <w:rPr>
        <w:rFonts w:hint="default"/>
        <w:lang w:val="en-us" w:eastAsia="en-us" w:bidi="en-us"/>
      </w:rPr>
    </w:lvl>
    <w:lvl w:ilvl="4">
      <w:start w:val="0"/>
      <w:numFmt w:val="bullet"/>
      <w:lvlText w:val="•"/>
      <w:lvlJc w:val="left"/>
      <w:pPr>
        <w:ind w:left="4844" w:hanging="591"/>
      </w:pPr>
      <w:rPr>
        <w:rFonts w:hint="default"/>
        <w:lang w:val="en-us" w:eastAsia="en-us" w:bidi="en-us"/>
      </w:rPr>
    </w:lvl>
    <w:lvl w:ilvl="5">
      <w:start w:val="0"/>
      <w:numFmt w:val="bullet"/>
      <w:lvlText w:val="•"/>
      <w:lvlJc w:val="left"/>
      <w:pPr>
        <w:ind w:left="5850" w:hanging="591"/>
      </w:pPr>
      <w:rPr>
        <w:rFonts w:hint="default"/>
        <w:lang w:val="en-us" w:eastAsia="en-us" w:bidi="en-us"/>
      </w:rPr>
    </w:lvl>
    <w:lvl w:ilvl="6">
      <w:start w:val="0"/>
      <w:numFmt w:val="bullet"/>
      <w:lvlText w:val="•"/>
      <w:lvlJc w:val="left"/>
      <w:pPr>
        <w:ind w:left="6856" w:hanging="591"/>
      </w:pPr>
      <w:rPr>
        <w:rFonts w:hint="default"/>
        <w:lang w:val="en-us" w:eastAsia="en-us" w:bidi="en-us"/>
      </w:rPr>
    </w:lvl>
    <w:lvl w:ilvl="7">
      <w:start w:val="0"/>
      <w:numFmt w:val="bullet"/>
      <w:lvlText w:val="•"/>
      <w:lvlJc w:val="left"/>
      <w:pPr>
        <w:ind w:left="7862" w:hanging="591"/>
      </w:pPr>
      <w:rPr>
        <w:rFonts w:hint="default"/>
        <w:lang w:val="en-us" w:eastAsia="en-us" w:bidi="en-us"/>
      </w:rPr>
    </w:lvl>
    <w:lvl w:ilvl="8">
      <w:start w:val="0"/>
      <w:numFmt w:val="bullet"/>
      <w:lvlText w:val="•"/>
      <w:lvlJc w:val="left"/>
      <w:pPr>
        <w:ind w:left="8868" w:hanging="591"/>
      </w:pPr>
      <w:rPr>
        <w:rFonts w:hint="default"/>
        <w:lang w:val="en-us" w:eastAsia="en-us" w:bidi="en-us"/>
      </w:rPr>
    </w:lvl>
  </w:abstractNum>
  <w:abstractNum w:abstractNumId="19">
    <w:multiLevelType w:val="hybridMultilevel"/>
    <w:lvl w:ilvl="0">
      <w:start w:val="1"/>
      <w:numFmt w:val="lowerRoman"/>
      <w:lvlText w:val="(%1)"/>
      <w:lvlJc w:val="left"/>
      <w:pPr>
        <w:ind w:left="820" w:hanging="576"/>
        <w:jc w:val="left"/>
      </w:pPr>
      <w:rPr>
        <w:rFonts w:hint="default" w:ascii="Courier New" w:hAnsi="Courier New" w:eastAsia="Courier New" w:cs="Courier New"/>
        <w:spacing w:val="-49"/>
        <w:w w:val="100"/>
        <w:sz w:val="24"/>
        <w:szCs w:val="24"/>
        <w:lang w:val="en-us" w:eastAsia="en-us" w:bidi="en-us"/>
      </w:rPr>
    </w:lvl>
    <w:lvl w:ilvl="1">
      <w:start w:val="0"/>
      <w:numFmt w:val="bullet"/>
      <w:lvlText w:val="•"/>
      <w:lvlJc w:val="left"/>
      <w:pPr>
        <w:ind w:left="1826" w:hanging="576"/>
      </w:pPr>
      <w:rPr>
        <w:rFonts w:hint="default"/>
        <w:lang w:val="en-us" w:eastAsia="en-us" w:bidi="en-us"/>
      </w:rPr>
    </w:lvl>
    <w:lvl w:ilvl="2">
      <w:start w:val="0"/>
      <w:numFmt w:val="bullet"/>
      <w:lvlText w:val="•"/>
      <w:lvlJc w:val="left"/>
      <w:pPr>
        <w:ind w:left="2832" w:hanging="576"/>
      </w:pPr>
      <w:rPr>
        <w:rFonts w:hint="default"/>
        <w:lang w:val="en-us" w:eastAsia="en-us" w:bidi="en-us"/>
      </w:rPr>
    </w:lvl>
    <w:lvl w:ilvl="3">
      <w:start w:val="0"/>
      <w:numFmt w:val="bullet"/>
      <w:lvlText w:val="•"/>
      <w:lvlJc w:val="left"/>
      <w:pPr>
        <w:ind w:left="3838" w:hanging="576"/>
      </w:pPr>
      <w:rPr>
        <w:rFonts w:hint="default"/>
        <w:lang w:val="en-us" w:eastAsia="en-us" w:bidi="en-us"/>
      </w:rPr>
    </w:lvl>
    <w:lvl w:ilvl="4">
      <w:start w:val="0"/>
      <w:numFmt w:val="bullet"/>
      <w:lvlText w:val="•"/>
      <w:lvlJc w:val="left"/>
      <w:pPr>
        <w:ind w:left="4844" w:hanging="576"/>
      </w:pPr>
      <w:rPr>
        <w:rFonts w:hint="default"/>
        <w:lang w:val="en-us" w:eastAsia="en-us" w:bidi="en-us"/>
      </w:rPr>
    </w:lvl>
    <w:lvl w:ilvl="5">
      <w:start w:val="0"/>
      <w:numFmt w:val="bullet"/>
      <w:lvlText w:val="•"/>
      <w:lvlJc w:val="left"/>
      <w:pPr>
        <w:ind w:left="5850" w:hanging="576"/>
      </w:pPr>
      <w:rPr>
        <w:rFonts w:hint="default"/>
        <w:lang w:val="en-us" w:eastAsia="en-us" w:bidi="en-us"/>
      </w:rPr>
    </w:lvl>
    <w:lvl w:ilvl="6">
      <w:start w:val="0"/>
      <w:numFmt w:val="bullet"/>
      <w:lvlText w:val="•"/>
      <w:lvlJc w:val="left"/>
      <w:pPr>
        <w:ind w:left="6856" w:hanging="576"/>
      </w:pPr>
      <w:rPr>
        <w:rFonts w:hint="default"/>
        <w:lang w:val="en-us" w:eastAsia="en-us" w:bidi="en-us"/>
      </w:rPr>
    </w:lvl>
    <w:lvl w:ilvl="7">
      <w:start w:val="0"/>
      <w:numFmt w:val="bullet"/>
      <w:lvlText w:val="•"/>
      <w:lvlJc w:val="left"/>
      <w:pPr>
        <w:ind w:left="7862" w:hanging="576"/>
      </w:pPr>
      <w:rPr>
        <w:rFonts w:hint="default"/>
        <w:lang w:val="en-us" w:eastAsia="en-us" w:bidi="en-us"/>
      </w:rPr>
    </w:lvl>
    <w:lvl w:ilvl="8">
      <w:start w:val="0"/>
      <w:numFmt w:val="bullet"/>
      <w:lvlText w:val="•"/>
      <w:lvlJc w:val="left"/>
      <w:pPr>
        <w:ind w:left="8868" w:hanging="576"/>
      </w:pPr>
      <w:rPr>
        <w:rFonts w:hint="default"/>
        <w:lang w:val="en-us" w:eastAsia="en-us" w:bidi="en-us"/>
      </w:rPr>
    </w:lvl>
  </w:abstractNum>
  <w:abstractNum w:abstractNumId="18">
    <w:multiLevelType w:val="hybridMultilevel"/>
    <w:lvl w:ilvl="0">
      <w:start w:val="4"/>
      <w:numFmt w:val="lowerRoman"/>
      <w:lvlText w:val="(%1)"/>
      <w:lvlJc w:val="left"/>
      <w:pPr>
        <w:ind w:left="820" w:hanging="718"/>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718"/>
      </w:pPr>
      <w:rPr>
        <w:rFonts w:hint="default"/>
        <w:lang w:val="en-us" w:eastAsia="en-us" w:bidi="en-us"/>
      </w:rPr>
    </w:lvl>
    <w:lvl w:ilvl="2">
      <w:start w:val="0"/>
      <w:numFmt w:val="bullet"/>
      <w:lvlText w:val="•"/>
      <w:lvlJc w:val="left"/>
      <w:pPr>
        <w:ind w:left="2832" w:hanging="718"/>
      </w:pPr>
      <w:rPr>
        <w:rFonts w:hint="default"/>
        <w:lang w:val="en-us" w:eastAsia="en-us" w:bidi="en-us"/>
      </w:rPr>
    </w:lvl>
    <w:lvl w:ilvl="3">
      <w:start w:val="0"/>
      <w:numFmt w:val="bullet"/>
      <w:lvlText w:val="•"/>
      <w:lvlJc w:val="left"/>
      <w:pPr>
        <w:ind w:left="3838" w:hanging="718"/>
      </w:pPr>
      <w:rPr>
        <w:rFonts w:hint="default"/>
        <w:lang w:val="en-us" w:eastAsia="en-us" w:bidi="en-us"/>
      </w:rPr>
    </w:lvl>
    <w:lvl w:ilvl="4">
      <w:start w:val="0"/>
      <w:numFmt w:val="bullet"/>
      <w:lvlText w:val="•"/>
      <w:lvlJc w:val="left"/>
      <w:pPr>
        <w:ind w:left="4844" w:hanging="718"/>
      </w:pPr>
      <w:rPr>
        <w:rFonts w:hint="default"/>
        <w:lang w:val="en-us" w:eastAsia="en-us" w:bidi="en-us"/>
      </w:rPr>
    </w:lvl>
    <w:lvl w:ilvl="5">
      <w:start w:val="0"/>
      <w:numFmt w:val="bullet"/>
      <w:lvlText w:val="•"/>
      <w:lvlJc w:val="left"/>
      <w:pPr>
        <w:ind w:left="5850" w:hanging="718"/>
      </w:pPr>
      <w:rPr>
        <w:rFonts w:hint="default"/>
        <w:lang w:val="en-us" w:eastAsia="en-us" w:bidi="en-us"/>
      </w:rPr>
    </w:lvl>
    <w:lvl w:ilvl="6">
      <w:start w:val="0"/>
      <w:numFmt w:val="bullet"/>
      <w:lvlText w:val="•"/>
      <w:lvlJc w:val="left"/>
      <w:pPr>
        <w:ind w:left="6856" w:hanging="718"/>
      </w:pPr>
      <w:rPr>
        <w:rFonts w:hint="default"/>
        <w:lang w:val="en-us" w:eastAsia="en-us" w:bidi="en-us"/>
      </w:rPr>
    </w:lvl>
    <w:lvl w:ilvl="7">
      <w:start w:val="0"/>
      <w:numFmt w:val="bullet"/>
      <w:lvlText w:val="•"/>
      <w:lvlJc w:val="left"/>
      <w:pPr>
        <w:ind w:left="7862" w:hanging="718"/>
      </w:pPr>
      <w:rPr>
        <w:rFonts w:hint="default"/>
        <w:lang w:val="en-us" w:eastAsia="en-us" w:bidi="en-us"/>
      </w:rPr>
    </w:lvl>
    <w:lvl w:ilvl="8">
      <w:start w:val="0"/>
      <w:numFmt w:val="bullet"/>
      <w:lvlText w:val="•"/>
      <w:lvlJc w:val="left"/>
      <w:pPr>
        <w:ind w:left="8868" w:hanging="718"/>
      </w:pPr>
      <w:rPr>
        <w:rFonts w:hint="default"/>
        <w:lang w:val="en-us" w:eastAsia="en-us" w:bidi="en-us"/>
      </w:rPr>
    </w:lvl>
  </w:abstractNum>
  <w:abstractNum w:abstractNumId="17">
    <w:multiLevelType w:val="hybridMultilevel"/>
    <w:lvl w:ilvl="0">
      <w:start w:val="1"/>
      <w:numFmt w:val="lowerRoman"/>
      <w:lvlText w:val="(%1)"/>
      <w:lvlJc w:val="left"/>
      <w:pPr>
        <w:ind w:left="820" w:hanging="629"/>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629"/>
      </w:pPr>
      <w:rPr>
        <w:rFonts w:hint="default"/>
        <w:lang w:val="en-us" w:eastAsia="en-us" w:bidi="en-us"/>
      </w:rPr>
    </w:lvl>
    <w:lvl w:ilvl="2">
      <w:start w:val="0"/>
      <w:numFmt w:val="bullet"/>
      <w:lvlText w:val="•"/>
      <w:lvlJc w:val="left"/>
      <w:pPr>
        <w:ind w:left="2832" w:hanging="629"/>
      </w:pPr>
      <w:rPr>
        <w:rFonts w:hint="default"/>
        <w:lang w:val="en-us" w:eastAsia="en-us" w:bidi="en-us"/>
      </w:rPr>
    </w:lvl>
    <w:lvl w:ilvl="3">
      <w:start w:val="0"/>
      <w:numFmt w:val="bullet"/>
      <w:lvlText w:val="•"/>
      <w:lvlJc w:val="left"/>
      <w:pPr>
        <w:ind w:left="3838" w:hanging="629"/>
      </w:pPr>
      <w:rPr>
        <w:rFonts w:hint="default"/>
        <w:lang w:val="en-us" w:eastAsia="en-us" w:bidi="en-us"/>
      </w:rPr>
    </w:lvl>
    <w:lvl w:ilvl="4">
      <w:start w:val="0"/>
      <w:numFmt w:val="bullet"/>
      <w:lvlText w:val="•"/>
      <w:lvlJc w:val="left"/>
      <w:pPr>
        <w:ind w:left="4844" w:hanging="629"/>
      </w:pPr>
      <w:rPr>
        <w:rFonts w:hint="default"/>
        <w:lang w:val="en-us" w:eastAsia="en-us" w:bidi="en-us"/>
      </w:rPr>
    </w:lvl>
    <w:lvl w:ilvl="5">
      <w:start w:val="0"/>
      <w:numFmt w:val="bullet"/>
      <w:lvlText w:val="•"/>
      <w:lvlJc w:val="left"/>
      <w:pPr>
        <w:ind w:left="5850" w:hanging="629"/>
      </w:pPr>
      <w:rPr>
        <w:rFonts w:hint="default"/>
        <w:lang w:val="en-us" w:eastAsia="en-us" w:bidi="en-us"/>
      </w:rPr>
    </w:lvl>
    <w:lvl w:ilvl="6">
      <w:start w:val="0"/>
      <w:numFmt w:val="bullet"/>
      <w:lvlText w:val="•"/>
      <w:lvlJc w:val="left"/>
      <w:pPr>
        <w:ind w:left="6856" w:hanging="629"/>
      </w:pPr>
      <w:rPr>
        <w:rFonts w:hint="default"/>
        <w:lang w:val="en-us" w:eastAsia="en-us" w:bidi="en-us"/>
      </w:rPr>
    </w:lvl>
    <w:lvl w:ilvl="7">
      <w:start w:val="0"/>
      <w:numFmt w:val="bullet"/>
      <w:lvlText w:val="•"/>
      <w:lvlJc w:val="left"/>
      <w:pPr>
        <w:ind w:left="7862" w:hanging="629"/>
      </w:pPr>
      <w:rPr>
        <w:rFonts w:hint="default"/>
        <w:lang w:val="en-us" w:eastAsia="en-us" w:bidi="en-us"/>
      </w:rPr>
    </w:lvl>
    <w:lvl w:ilvl="8">
      <w:start w:val="0"/>
      <w:numFmt w:val="bullet"/>
      <w:lvlText w:val="•"/>
      <w:lvlJc w:val="left"/>
      <w:pPr>
        <w:ind w:left="8868" w:hanging="629"/>
      </w:pPr>
      <w:rPr>
        <w:rFonts w:hint="default"/>
        <w:lang w:val="en-us" w:eastAsia="en-us" w:bidi="en-us"/>
      </w:rPr>
    </w:lvl>
  </w:abstractNum>
  <w:abstractNum w:abstractNumId="16">
    <w:multiLevelType w:val="hybridMultilevel"/>
    <w:lvl w:ilvl="0">
      <w:start w:val="1"/>
      <w:numFmt w:val="lowerLetter"/>
      <w:lvlText w:val="(%1)"/>
      <w:lvlJc w:val="left"/>
      <w:pPr>
        <w:ind w:left="2116" w:hanging="576"/>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996" w:hanging="576"/>
      </w:pPr>
      <w:rPr>
        <w:rFonts w:hint="default"/>
        <w:lang w:val="en-us" w:eastAsia="en-us" w:bidi="en-us"/>
      </w:rPr>
    </w:lvl>
    <w:lvl w:ilvl="2">
      <w:start w:val="0"/>
      <w:numFmt w:val="bullet"/>
      <w:lvlText w:val="•"/>
      <w:lvlJc w:val="left"/>
      <w:pPr>
        <w:ind w:left="3872" w:hanging="576"/>
      </w:pPr>
      <w:rPr>
        <w:rFonts w:hint="default"/>
        <w:lang w:val="en-us" w:eastAsia="en-us" w:bidi="en-us"/>
      </w:rPr>
    </w:lvl>
    <w:lvl w:ilvl="3">
      <w:start w:val="0"/>
      <w:numFmt w:val="bullet"/>
      <w:lvlText w:val="•"/>
      <w:lvlJc w:val="left"/>
      <w:pPr>
        <w:ind w:left="4748" w:hanging="576"/>
      </w:pPr>
      <w:rPr>
        <w:rFonts w:hint="default"/>
        <w:lang w:val="en-us" w:eastAsia="en-us" w:bidi="en-us"/>
      </w:rPr>
    </w:lvl>
    <w:lvl w:ilvl="4">
      <w:start w:val="0"/>
      <w:numFmt w:val="bullet"/>
      <w:lvlText w:val="•"/>
      <w:lvlJc w:val="left"/>
      <w:pPr>
        <w:ind w:left="5624" w:hanging="576"/>
      </w:pPr>
      <w:rPr>
        <w:rFonts w:hint="default"/>
        <w:lang w:val="en-us" w:eastAsia="en-us" w:bidi="en-us"/>
      </w:rPr>
    </w:lvl>
    <w:lvl w:ilvl="5">
      <w:start w:val="0"/>
      <w:numFmt w:val="bullet"/>
      <w:lvlText w:val="•"/>
      <w:lvlJc w:val="left"/>
      <w:pPr>
        <w:ind w:left="6500" w:hanging="576"/>
      </w:pPr>
      <w:rPr>
        <w:rFonts w:hint="default"/>
        <w:lang w:val="en-us" w:eastAsia="en-us" w:bidi="en-us"/>
      </w:rPr>
    </w:lvl>
    <w:lvl w:ilvl="6">
      <w:start w:val="0"/>
      <w:numFmt w:val="bullet"/>
      <w:lvlText w:val="•"/>
      <w:lvlJc w:val="left"/>
      <w:pPr>
        <w:ind w:left="7376" w:hanging="576"/>
      </w:pPr>
      <w:rPr>
        <w:rFonts w:hint="default"/>
        <w:lang w:val="en-us" w:eastAsia="en-us" w:bidi="en-us"/>
      </w:rPr>
    </w:lvl>
    <w:lvl w:ilvl="7">
      <w:start w:val="0"/>
      <w:numFmt w:val="bullet"/>
      <w:lvlText w:val="•"/>
      <w:lvlJc w:val="left"/>
      <w:pPr>
        <w:ind w:left="8252" w:hanging="576"/>
      </w:pPr>
      <w:rPr>
        <w:rFonts w:hint="default"/>
        <w:lang w:val="en-us" w:eastAsia="en-us" w:bidi="en-us"/>
      </w:rPr>
    </w:lvl>
    <w:lvl w:ilvl="8">
      <w:start w:val="0"/>
      <w:numFmt w:val="bullet"/>
      <w:lvlText w:val="•"/>
      <w:lvlJc w:val="left"/>
      <w:pPr>
        <w:ind w:left="9128" w:hanging="576"/>
      </w:pPr>
      <w:rPr>
        <w:rFonts w:hint="default"/>
        <w:lang w:val="en-us" w:eastAsia="en-us" w:bidi="en-us"/>
      </w:rPr>
    </w:lvl>
  </w:abstractNum>
  <w:abstractNum w:abstractNumId="15">
    <w:multiLevelType w:val="hybridMultilevel"/>
    <w:lvl w:ilvl="0">
      <w:start w:val="1"/>
      <w:numFmt w:val="lowerRoman"/>
      <w:lvlText w:val="(%1)"/>
      <w:lvlJc w:val="left"/>
      <w:pPr>
        <w:ind w:left="804" w:hanging="557"/>
        <w:jc w:val="righ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678" w:hanging="557"/>
      </w:pPr>
      <w:rPr>
        <w:rFonts w:hint="default"/>
        <w:lang w:val="en-us" w:eastAsia="en-us" w:bidi="en-us"/>
      </w:rPr>
    </w:lvl>
    <w:lvl w:ilvl="2">
      <w:start w:val="0"/>
      <w:numFmt w:val="bullet"/>
      <w:lvlText w:val="•"/>
      <w:lvlJc w:val="left"/>
      <w:pPr>
        <w:ind w:left="2557" w:hanging="557"/>
      </w:pPr>
      <w:rPr>
        <w:rFonts w:hint="default"/>
        <w:lang w:val="en-us" w:eastAsia="en-us" w:bidi="en-us"/>
      </w:rPr>
    </w:lvl>
    <w:lvl w:ilvl="3">
      <w:start w:val="0"/>
      <w:numFmt w:val="bullet"/>
      <w:lvlText w:val="•"/>
      <w:lvlJc w:val="left"/>
      <w:pPr>
        <w:ind w:left="3436" w:hanging="557"/>
      </w:pPr>
      <w:rPr>
        <w:rFonts w:hint="default"/>
        <w:lang w:val="en-us" w:eastAsia="en-us" w:bidi="en-us"/>
      </w:rPr>
    </w:lvl>
    <w:lvl w:ilvl="4">
      <w:start w:val="0"/>
      <w:numFmt w:val="bullet"/>
      <w:lvlText w:val="•"/>
      <w:lvlJc w:val="left"/>
      <w:pPr>
        <w:ind w:left="4315" w:hanging="557"/>
      </w:pPr>
      <w:rPr>
        <w:rFonts w:hint="default"/>
        <w:lang w:val="en-us" w:eastAsia="en-us" w:bidi="en-us"/>
      </w:rPr>
    </w:lvl>
    <w:lvl w:ilvl="5">
      <w:start w:val="0"/>
      <w:numFmt w:val="bullet"/>
      <w:lvlText w:val="•"/>
      <w:lvlJc w:val="left"/>
      <w:pPr>
        <w:ind w:left="5193" w:hanging="557"/>
      </w:pPr>
      <w:rPr>
        <w:rFonts w:hint="default"/>
        <w:lang w:val="en-us" w:eastAsia="en-us" w:bidi="en-us"/>
      </w:rPr>
    </w:lvl>
    <w:lvl w:ilvl="6">
      <w:start w:val="0"/>
      <w:numFmt w:val="bullet"/>
      <w:lvlText w:val="•"/>
      <w:lvlJc w:val="left"/>
      <w:pPr>
        <w:ind w:left="6072" w:hanging="557"/>
      </w:pPr>
      <w:rPr>
        <w:rFonts w:hint="default"/>
        <w:lang w:val="en-us" w:eastAsia="en-us" w:bidi="en-us"/>
      </w:rPr>
    </w:lvl>
    <w:lvl w:ilvl="7">
      <w:start w:val="0"/>
      <w:numFmt w:val="bullet"/>
      <w:lvlText w:val="•"/>
      <w:lvlJc w:val="left"/>
      <w:pPr>
        <w:ind w:left="6951" w:hanging="557"/>
      </w:pPr>
      <w:rPr>
        <w:rFonts w:hint="default"/>
        <w:lang w:val="en-us" w:eastAsia="en-us" w:bidi="en-us"/>
      </w:rPr>
    </w:lvl>
    <w:lvl w:ilvl="8">
      <w:start w:val="0"/>
      <w:numFmt w:val="bullet"/>
      <w:lvlText w:val="•"/>
      <w:lvlJc w:val="left"/>
      <w:pPr>
        <w:ind w:left="7830" w:hanging="557"/>
      </w:pPr>
      <w:rPr>
        <w:rFonts w:hint="default"/>
        <w:lang w:val="en-us" w:eastAsia="en-us" w:bidi="en-us"/>
      </w:rPr>
    </w:lvl>
  </w:abstractNum>
  <w:abstractNum w:abstractNumId="14">
    <w:multiLevelType w:val="hybridMultilevel"/>
    <w:lvl w:ilvl="0">
      <w:start w:val="1"/>
      <w:numFmt w:val="lowerRoman"/>
      <w:lvlText w:val="(%1)"/>
      <w:lvlJc w:val="left"/>
      <w:pPr>
        <w:ind w:left="820" w:hanging="555"/>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555"/>
      </w:pPr>
      <w:rPr>
        <w:rFonts w:hint="default"/>
        <w:lang w:val="en-us" w:eastAsia="en-us" w:bidi="en-us"/>
      </w:rPr>
    </w:lvl>
    <w:lvl w:ilvl="2">
      <w:start w:val="0"/>
      <w:numFmt w:val="bullet"/>
      <w:lvlText w:val="•"/>
      <w:lvlJc w:val="left"/>
      <w:pPr>
        <w:ind w:left="2832" w:hanging="555"/>
      </w:pPr>
      <w:rPr>
        <w:rFonts w:hint="default"/>
        <w:lang w:val="en-us" w:eastAsia="en-us" w:bidi="en-us"/>
      </w:rPr>
    </w:lvl>
    <w:lvl w:ilvl="3">
      <w:start w:val="0"/>
      <w:numFmt w:val="bullet"/>
      <w:lvlText w:val="•"/>
      <w:lvlJc w:val="left"/>
      <w:pPr>
        <w:ind w:left="3838" w:hanging="555"/>
      </w:pPr>
      <w:rPr>
        <w:rFonts w:hint="default"/>
        <w:lang w:val="en-us" w:eastAsia="en-us" w:bidi="en-us"/>
      </w:rPr>
    </w:lvl>
    <w:lvl w:ilvl="4">
      <w:start w:val="0"/>
      <w:numFmt w:val="bullet"/>
      <w:lvlText w:val="•"/>
      <w:lvlJc w:val="left"/>
      <w:pPr>
        <w:ind w:left="4844" w:hanging="555"/>
      </w:pPr>
      <w:rPr>
        <w:rFonts w:hint="default"/>
        <w:lang w:val="en-us" w:eastAsia="en-us" w:bidi="en-us"/>
      </w:rPr>
    </w:lvl>
    <w:lvl w:ilvl="5">
      <w:start w:val="0"/>
      <w:numFmt w:val="bullet"/>
      <w:lvlText w:val="•"/>
      <w:lvlJc w:val="left"/>
      <w:pPr>
        <w:ind w:left="5850" w:hanging="555"/>
      </w:pPr>
      <w:rPr>
        <w:rFonts w:hint="default"/>
        <w:lang w:val="en-us" w:eastAsia="en-us" w:bidi="en-us"/>
      </w:rPr>
    </w:lvl>
    <w:lvl w:ilvl="6">
      <w:start w:val="0"/>
      <w:numFmt w:val="bullet"/>
      <w:lvlText w:val="•"/>
      <w:lvlJc w:val="left"/>
      <w:pPr>
        <w:ind w:left="6856" w:hanging="555"/>
      </w:pPr>
      <w:rPr>
        <w:rFonts w:hint="default"/>
        <w:lang w:val="en-us" w:eastAsia="en-us" w:bidi="en-us"/>
      </w:rPr>
    </w:lvl>
    <w:lvl w:ilvl="7">
      <w:start w:val="0"/>
      <w:numFmt w:val="bullet"/>
      <w:lvlText w:val="•"/>
      <w:lvlJc w:val="left"/>
      <w:pPr>
        <w:ind w:left="7862" w:hanging="555"/>
      </w:pPr>
      <w:rPr>
        <w:rFonts w:hint="default"/>
        <w:lang w:val="en-us" w:eastAsia="en-us" w:bidi="en-us"/>
      </w:rPr>
    </w:lvl>
    <w:lvl w:ilvl="8">
      <w:start w:val="0"/>
      <w:numFmt w:val="bullet"/>
      <w:lvlText w:val="•"/>
      <w:lvlJc w:val="left"/>
      <w:pPr>
        <w:ind w:left="8868" w:hanging="555"/>
      </w:pPr>
      <w:rPr>
        <w:rFonts w:hint="default"/>
        <w:lang w:val="en-us" w:eastAsia="en-us" w:bidi="en-us"/>
      </w:rPr>
    </w:lvl>
  </w:abstractNum>
  <w:abstractNum w:abstractNumId="13">
    <w:multiLevelType w:val="hybridMultilevel"/>
    <w:lvl w:ilvl="0">
      <w:start w:val="1"/>
      <w:numFmt w:val="lowerLetter"/>
      <w:lvlText w:val="(%1)"/>
      <w:lvlJc w:val="left"/>
      <w:pPr>
        <w:ind w:left="820" w:hanging="612"/>
        <w:jc w:val="righ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820" w:hanging="639"/>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832" w:hanging="639"/>
      </w:pPr>
      <w:rPr>
        <w:rFonts w:hint="default"/>
        <w:lang w:val="en-us" w:eastAsia="en-us" w:bidi="en-us"/>
      </w:rPr>
    </w:lvl>
    <w:lvl w:ilvl="3">
      <w:start w:val="0"/>
      <w:numFmt w:val="bullet"/>
      <w:lvlText w:val="•"/>
      <w:lvlJc w:val="left"/>
      <w:pPr>
        <w:ind w:left="3838" w:hanging="639"/>
      </w:pPr>
      <w:rPr>
        <w:rFonts w:hint="default"/>
        <w:lang w:val="en-us" w:eastAsia="en-us" w:bidi="en-us"/>
      </w:rPr>
    </w:lvl>
    <w:lvl w:ilvl="4">
      <w:start w:val="0"/>
      <w:numFmt w:val="bullet"/>
      <w:lvlText w:val="•"/>
      <w:lvlJc w:val="left"/>
      <w:pPr>
        <w:ind w:left="4844" w:hanging="639"/>
      </w:pPr>
      <w:rPr>
        <w:rFonts w:hint="default"/>
        <w:lang w:val="en-us" w:eastAsia="en-us" w:bidi="en-us"/>
      </w:rPr>
    </w:lvl>
    <w:lvl w:ilvl="5">
      <w:start w:val="0"/>
      <w:numFmt w:val="bullet"/>
      <w:lvlText w:val="•"/>
      <w:lvlJc w:val="left"/>
      <w:pPr>
        <w:ind w:left="5850" w:hanging="639"/>
      </w:pPr>
      <w:rPr>
        <w:rFonts w:hint="default"/>
        <w:lang w:val="en-us" w:eastAsia="en-us" w:bidi="en-us"/>
      </w:rPr>
    </w:lvl>
    <w:lvl w:ilvl="6">
      <w:start w:val="0"/>
      <w:numFmt w:val="bullet"/>
      <w:lvlText w:val="•"/>
      <w:lvlJc w:val="left"/>
      <w:pPr>
        <w:ind w:left="6856" w:hanging="639"/>
      </w:pPr>
      <w:rPr>
        <w:rFonts w:hint="default"/>
        <w:lang w:val="en-us" w:eastAsia="en-us" w:bidi="en-us"/>
      </w:rPr>
    </w:lvl>
    <w:lvl w:ilvl="7">
      <w:start w:val="0"/>
      <w:numFmt w:val="bullet"/>
      <w:lvlText w:val="•"/>
      <w:lvlJc w:val="left"/>
      <w:pPr>
        <w:ind w:left="7862" w:hanging="639"/>
      </w:pPr>
      <w:rPr>
        <w:rFonts w:hint="default"/>
        <w:lang w:val="en-us" w:eastAsia="en-us" w:bidi="en-us"/>
      </w:rPr>
    </w:lvl>
    <w:lvl w:ilvl="8">
      <w:start w:val="0"/>
      <w:numFmt w:val="bullet"/>
      <w:lvlText w:val="•"/>
      <w:lvlJc w:val="left"/>
      <w:pPr>
        <w:ind w:left="8868" w:hanging="639"/>
      </w:pPr>
      <w:rPr>
        <w:rFonts w:hint="default"/>
        <w:lang w:val="en-us" w:eastAsia="en-us" w:bidi="en-us"/>
      </w:rPr>
    </w:lvl>
  </w:abstractNum>
  <w:abstractNum w:abstractNumId="12">
    <w:multiLevelType w:val="hybridMultilevel"/>
    <w:lvl w:ilvl="0">
      <w:start w:val="1"/>
      <w:numFmt w:val="lowerRoman"/>
      <w:lvlText w:val="(%1)"/>
      <w:lvlJc w:val="left"/>
      <w:pPr>
        <w:ind w:left="820" w:hanging="840"/>
        <w:jc w:val="left"/>
      </w:pPr>
      <w:rPr>
        <w:rFonts w:hint="default" w:ascii="Courier New" w:hAnsi="Courier New" w:eastAsia="Courier New" w:cs="Courier New"/>
        <w:spacing w:val="-25"/>
        <w:w w:val="100"/>
        <w:sz w:val="24"/>
        <w:szCs w:val="24"/>
        <w:lang w:val="en-us" w:eastAsia="en-us" w:bidi="en-us"/>
      </w:rPr>
    </w:lvl>
    <w:lvl w:ilvl="1">
      <w:start w:val="0"/>
      <w:numFmt w:val="bullet"/>
      <w:lvlText w:val="•"/>
      <w:lvlJc w:val="left"/>
      <w:pPr>
        <w:ind w:left="1826" w:hanging="840"/>
      </w:pPr>
      <w:rPr>
        <w:rFonts w:hint="default"/>
        <w:lang w:val="en-us" w:eastAsia="en-us" w:bidi="en-us"/>
      </w:rPr>
    </w:lvl>
    <w:lvl w:ilvl="2">
      <w:start w:val="0"/>
      <w:numFmt w:val="bullet"/>
      <w:lvlText w:val="•"/>
      <w:lvlJc w:val="left"/>
      <w:pPr>
        <w:ind w:left="2832" w:hanging="840"/>
      </w:pPr>
      <w:rPr>
        <w:rFonts w:hint="default"/>
        <w:lang w:val="en-us" w:eastAsia="en-us" w:bidi="en-us"/>
      </w:rPr>
    </w:lvl>
    <w:lvl w:ilvl="3">
      <w:start w:val="0"/>
      <w:numFmt w:val="bullet"/>
      <w:lvlText w:val="•"/>
      <w:lvlJc w:val="left"/>
      <w:pPr>
        <w:ind w:left="3838" w:hanging="840"/>
      </w:pPr>
      <w:rPr>
        <w:rFonts w:hint="default"/>
        <w:lang w:val="en-us" w:eastAsia="en-us" w:bidi="en-us"/>
      </w:rPr>
    </w:lvl>
    <w:lvl w:ilvl="4">
      <w:start w:val="0"/>
      <w:numFmt w:val="bullet"/>
      <w:lvlText w:val="•"/>
      <w:lvlJc w:val="left"/>
      <w:pPr>
        <w:ind w:left="4844" w:hanging="840"/>
      </w:pPr>
      <w:rPr>
        <w:rFonts w:hint="default"/>
        <w:lang w:val="en-us" w:eastAsia="en-us" w:bidi="en-us"/>
      </w:rPr>
    </w:lvl>
    <w:lvl w:ilvl="5">
      <w:start w:val="0"/>
      <w:numFmt w:val="bullet"/>
      <w:lvlText w:val="•"/>
      <w:lvlJc w:val="left"/>
      <w:pPr>
        <w:ind w:left="5850" w:hanging="840"/>
      </w:pPr>
      <w:rPr>
        <w:rFonts w:hint="default"/>
        <w:lang w:val="en-us" w:eastAsia="en-us" w:bidi="en-us"/>
      </w:rPr>
    </w:lvl>
    <w:lvl w:ilvl="6">
      <w:start w:val="0"/>
      <w:numFmt w:val="bullet"/>
      <w:lvlText w:val="•"/>
      <w:lvlJc w:val="left"/>
      <w:pPr>
        <w:ind w:left="6856" w:hanging="840"/>
      </w:pPr>
      <w:rPr>
        <w:rFonts w:hint="default"/>
        <w:lang w:val="en-us" w:eastAsia="en-us" w:bidi="en-us"/>
      </w:rPr>
    </w:lvl>
    <w:lvl w:ilvl="7">
      <w:start w:val="0"/>
      <w:numFmt w:val="bullet"/>
      <w:lvlText w:val="•"/>
      <w:lvlJc w:val="left"/>
      <w:pPr>
        <w:ind w:left="7862" w:hanging="840"/>
      </w:pPr>
      <w:rPr>
        <w:rFonts w:hint="default"/>
        <w:lang w:val="en-us" w:eastAsia="en-us" w:bidi="en-us"/>
      </w:rPr>
    </w:lvl>
    <w:lvl w:ilvl="8">
      <w:start w:val="0"/>
      <w:numFmt w:val="bullet"/>
      <w:lvlText w:val="•"/>
      <w:lvlJc w:val="left"/>
      <w:pPr>
        <w:ind w:left="8868" w:hanging="840"/>
      </w:pPr>
      <w:rPr>
        <w:rFonts w:hint="default"/>
        <w:lang w:val="en-us" w:eastAsia="en-us" w:bidi="en-us"/>
      </w:rPr>
    </w:lvl>
  </w:abstractNum>
  <w:abstractNum w:abstractNumId="11">
    <w:multiLevelType w:val="hybridMultilevel"/>
    <w:lvl w:ilvl="0">
      <w:start w:val="1"/>
      <w:numFmt w:val="lowerRoman"/>
      <w:lvlText w:val="(%1)"/>
      <w:lvlJc w:val="left"/>
      <w:pPr>
        <w:ind w:left="820" w:hanging="61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610"/>
      </w:pPr>
      <w:rPr>
        <w:rFonts w:hint="default"/>
        <w:lang w:val="en-us" w:eastAsia="en-us" w:bidi="en-us"/>
      </w:rPr>
    </w:lvl>
    <w:lvl w:ilvl="2">
      <w:start w:val="0"/>
      <w:numFmt w:val="bullet"/>
      <w:lvlText w:val="•"/>
      <w:lvlJc w:val="left"/>
      <w:pPr>
        <w:ind w:left="2832" w:hanging="610"/>
      </w:pPr>
      <w:rPr>
        <w:rFonts w:hint="default"/>
        <w:lang w:val="en-us" w:eastAsia="en-us" w:bidi="en-us"/>
      </w:rPr>
    </w:lvl>
    <w:lvl w:ilvl="3">
      <w:start w:val="0"/>
      <w:numFmt w:val="bullet"/>
      <w:lvlText w:val="•"/>
      <w:lvlJc w:val="left"/>
      <w:pPr>
        <w:ind w:left="3838" w:hanging="610"/>
      </w:pPr>
      <w:rPr>
        <w:rFonts w:hint="default"/>
        <w:lang w:val="en-us" w:eastAsia="en-us" w:bidi="en-us"/>
      </w:rPr>
    </w:lvl>
    <w:lvl w:ilvl="4">
      <w:start w:val="0"/>
      <w:numFmt w:val="bullet"/>
      <w:lvlText w:val="•"/>
      <w:lvlJc w:val="left"/>
      <w:pPr>
        <w:ind w:left="4844" w:hanging="610"/>
      </w:pPr>
      <w:rPr>
        <w:rFonts w:hint="default"/>
        <w:lang w:val="en-us" w:eastAsia="en-us" w:bidi="en-us"/>
      </w:rPr>
    </w:lvl>
    <w:lvl w:ilvl="5">
      <w:start w:val="0"/>
      <w:numFmt w:val="bullet"/>
      <w:lvlText w:val="•"/>
      <w:lvlJc w:val="left"/>
      <w:pPr>
        <w:ind w:left="5850" w:hanging="610"/>
      </w:pPr>
      <w:rPr>
        <w:rFonts w:hint="default"/>
        <w:lang w:val="en-us" w:eastAsia="en-us" w:bidi="en-us"/>
      </w:rPr>
    </w:lvl>
    <w:lvl w:ilvl="6">
      <w:start w:val="0"/>
      <w:numFmt w:val="bullet"/>
      <w:lvlText w:val="•"/>
      <w:lvlJc w:val="left"/>
      <w:pPr>
        <w:ind w:left="6856" w:hanging="610"/>
      </w:pPr>
      <w:rPr>
        <w:rFonts w:hint="default"/>
        <w:lang w:val="en-us" w:eastAsia="en-us" w:bidi="en-us"/>
      </w:rPr>
    </w:lvl>
    <w:lvl w:ilvl="7">
      <w:start w:val="0"/>
      <w:numFmt w:val="bullet"/>
      <w:lvlText w:val="•"/>
      <w:lvlJc w:val="left"/>
      <w:pPr>
        <w:ind w:left="7862" w:hanging="610"/>
      </w:pPr>
      <w:rPr>
        <w:rFonts w:hint="default"/>
        <w:lang w:val="en-us" w:eastAsia="en-us" w:bidi="en-us"/>
      </w:rPr>
    </w:lvl>
    <w:lvl w:ilvl="8">
      <w:start w:val="0"/>
      <w:numFmt w:val="bullet"/>
      <w:lvlText w:val="•"/>
      <w:lvlJc w:val="left"/>
      <w:pPr>
        <w:ind w:left="8868" w:hanging="610"/>
      </w:pPr>
      <w:rPr>
        <w:rFonts w:hint="default"/>
        <w:lang w:val="en-us" w:eastAsia="en-us" w:bidi="en-us"/>
      </w:rPr>
    </w:lvl>
  </w:abstractNum>
  <w:abstractNum w:abstractNumId="10">
    <w:multiLevelType w:val="hybridMultilevel"/>
    <w:lvl w:ilvl="0">
      <w:start w:val="1"/>
      <w:numFmt w:val="lowerLetter"/>
      <w:lvlText w:val="(%1)"/>
      <w:lvlJc w:val="left"/>
      <w:pPr>
        <w:ind w:left="820" w:hanging="57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826" w:hanging="574"/>
      </w:pPr>
      <w:rPr>
        <w:rFonts w:hint="default"/>
        <w:lang w:val="en-us" w:eastAsia="en-us" w:bidi="en-us"/>
      </w:rPr>
    </w:lvl>
    <w:lvl w:ilvl="2">
      <w:start w:val="0"/>
      <w:numFmt w:val="bullet"/>
      <w:lvlText w:val="•"/>
      <w:lvlJc w:val="left"/>
      <w:pPr>
        <w:ind w:left="2832" w:hanging="574"/>
      </w:pPr>
      <w:rPr>
        <w:rFonts w:hint="default"/>
        <w:lang w:val="en-us" w:eastAsia="en-us" w:bidi="en-us"/>
      </w:rPr>
    </w:lvl>
    <w:lvl w:ilvl="3">
      <w:start w:val="0"/>
      <w:numFmt w:val="bullet"/>
      <w:lvlText w:val="•"/>
      <w:lvlJc w:val="left"/>
      <w:pPr>
        <w:ind w:left="3838" w:hanging="574"/>
      </w:pPr>
      <w:rPr>
        <w:rFonts w:hint="default"/>
        <w:lang w:val="en-us" w:eastAsia="en-us" w:bidi="en-us"/>
      </w:rPr>
    </w:lvl>
    <w:lvl w:ilvl="4">
      <w:start w:val="0"/>
      <w:numFmt w:val="bullet"/>
      <w:lvlText w:val="•"/>
      <w:lvlJc w:val="left"/>
      <w:pPr>
        <w:ind w:left="4844" w:hanging="574"/>
      </w:pPr>
      <w:rPr>
        <w:rFonts w:hint="default"/>
        <w:lang w:val="en-us" w:eastAsia="en-us" w:bidi="en-us"/>
      </w:rPr>
    </w:lvl>
    <w:lvl w:ilvl="5">
      <w:start w:val="0"/>
      <w:numFmt w:val="bullet"/>
      <w:lvlText w:val="•"/>
      <w:lvlJc w:val="left"/>
      <w:pPr>
        <w:ind w:left="5850" w:hanging="574"/>
      </w:pPr>
      <w:rPr>
        <w:rFonts w:hint="default"/>
        <w:lang w:val="en-us" w:eastAsia="en-us" w:bidi="en-us"/>
      </w:rPr>
    </w:lvl>
    <w:lvl w:ilvl="6">
      <w:start w:val="0"/>
      <w:numFmt w:val="bullet"/>
      <w:lvlText w:val="•"/>
      <w:lvlJc w:val="left"/>
      <w:pPr>
        <w:ind w:left="6856" w:hanging="574"/>
      </w:pPr>
      <w:rPr>
        <w:rFonts w:hint="default"/>
        <w:lang w:val="en-us" w:eastAsia="en-us" w:bidi="en-us"/>
      </w:rPr>
    </w:lvl>
    <w:lvl w:ilvl="7">
      <w:start w:val="0"/>
      <w:numFmt w:val="bullet"/>
      <w:lvlText w:val="•"/>
      <w:lvlJc w:val="left"/>
      <w:pPr>
        <w:ind w:left="7862" w:hanging="574"/>
      </w:pPr>
      <w:rPr>
        <w:rFonts w:hint="default"/>
        <w:lang w:val="en-us" w:eastAsia="en-us" w:bidi="en-us"/>
      </w:rPr>
    </w:lvl>
    <w:lvl w:ilvl="8">
      <w:start w:val="0"/>
      <w:numFmt w:val="bullet"/>
      <w:lvlText w:val="•"/>
      <w:lvlJc w:val="left"/>
      <w:pPr>
        <w:ind w:left="8868" w:hanging="574"/>
      </w:pPr>
      <w:rPr>
        <w:rFonts w:hint="default"/>
        <w:lang w:val="en-us" w:eastAsia="en-us" w:bidi="en-us"/>
      </w:rPr>
    </w:lvl>
  </w:abstractNum>
  <w:abstractNum w:abstractNumId="9">
    <w:multiLevelType w:val="hybridMultilevel"/>
    <w:lvl w:ilvl="0">
      <w:start w:val="1"/>
      <w:numFmt w:val="decimal"/>
      <w:lvlText w:val="%1."/>
      <w:lvlJc w:val="left"/>
      <w:pPr>
        <w:ind w:left="1590" w:hanging="360"/>
        <w:jc w:val="left"/>
      </w:pPr>
      <w:rPr>
        <w:rFonts w:hint="default" w:ascii="Cambria" w:hAnsi="Cambria" w:eastAsia="Cambria" w:cs="Cambria"/>
        <w:color w:val="252525"/>
        <w:w w:val="100"/>
        <w:sz w:val="22"/>
        <w:szCs w:val="22"/>
        <w:lang w:val="en-us" w:eastAsia="en-us" w:bidi="en-us"/>
      </w:rPr>
    </w:lvl>
    <w:lvl w:ilvl="1">
      <w:start w:val="1"/>
      <w:numFmt w:val="upperLetter"/>
      <w:lvlText w:val="%2."/>
      <w:lvlJc w:val="left"/>
      <w:pPr>
        <w:ind w:left="1540" w:hanging="360"/>
        <w:jc w:val="left"/>
      </w:pPr>
      <w:rPr>
        <w:rFonts w:hint="default" w:ascii="Cambria" w:hAnsi="Cambria" w:eastAsia="Cambria" w:cs="Cambria"/>
        <w:b/>
        <w:bCs/>
        <w:w w:val="100"/>
        <w:sz w:val="22"/>
        <w:szCs w:val="22"/>
        <w:lang w:val="en-us" w:eastAsia="en-us" w:bidi="en-us"/>
      </w:rPr>
    </w:lvl>
    <w:lvl w:ilvl="2">
      <w:start w:val="0"/>
      <w:numFmt w:val="bullet"/>
      <w:lvlText w:val=""/>
      <w:lvlJc w:val="left"/>
      <w:pPr>
        <w:ind w:left="2260" w:hanging="360"/>
      </w:pPr>
      <w:rPr>
        <w:rFonts w:hint="default" w:ascii="Symbol" w:hAnsi="Symbol" w:eastAsia="Symbol" w:cs="Symbol"/>
        <w:w w:val="100"/>
        <w:sz w:val="22"/>
        <w:szCs w:val="22"/>
        <w:lang w:val="en-us" w:eastAsia="en-us" w:bidi="en-us"/>
      </w:rPr>
    </w:lvl>
    <w:lvl w:ilvl="3">
      <w:start w:val="0"/>
      <w:numFmt w:val="bullet"/>
      <w:lvlText w:val="•"/>
      <w:lvlJc w:val="left"/>
      <w:pPr>
        <w:ind w:left="3337" w:hanging="360"/>
      </w:pPr>
      <w:rPr>
        <w:rFonts w:hint="default"/>
        <w:lang w:val="en-us" w:eastAsia="en-us" w:bidi="en-us"/>
      </w:rPr>
    </w:lvl>
    <w:lvl w:ilvl="4">
      <w:start w:val="0"/>
      <w:numFmt w:val="bullet"/>
      <w:lvlText w:val="•"/>
      <w:lvlJc w:val="left"/>
      <w:pPr>
        <w:ind w:left="4415" w:hanging="360"/>
      </w:pPr>
      <w:rPr>
        <w:rFonts w:hint="default"/>
        <w:lang w:val="en-us" w:eastAsia="en-us" w:bidi="en-us"/>
      </w:rPr>
    </w:lvl>
    <w:lvl w:ilvl="5">
      <w:start w:val="0"/>
      <w:numFmt w:val="bullet"/>
      <w:lvlText w:val="•"/>
      <w:lvlJc w:val="left"/>
      <w:pPr>
        <w:ind w:left="5492" w:hanging="360"/>
      </w:pPr>
      <w:rPr>
        <w:rFonts w:hint="default"/>
        <w:lang w:val="en-us" w:eastAsia="en-us" w:bidi="en-us"/>
      </w:rPr>
    </w:lvl>
    <w:lvl w:ilvl="6">
      <w:start w:val="0"/>
      <w:numFmt w:val="bullet"/>
      <w:lvlText w:val="•"/>
      <w:lvlJc w:val="left"/>
      <w:pPr>
        <w:ind w:left="6570" w:hanging="360"/>
      </w:pPr>
      <w:rPr>
        <w:rFonts w:hint="default"/>
        <w:lang w:val="en-us" w:eastAsia="en-us" w:bidi="en-us"/>
      </w:rPr>
    </w:lvl>
    <w:lvl w:ilvl="7">
      <w:start w:val="0"/>
      <w:numFmt w:val="bullet"/>
      <w:lvlText w:val="•"/>
      <w:lvlJc w:val="left"/>
      <w:pPr>
        <w:ind w:left="7647" w:hanging="360"/>
      </w:pPr>
      <w:rPr>
        <w:rFonts w:hint="default"/>
        <w:lang w:val="en-us" w:eastAsia="en-us" w:bidi="en-us"/>
      </w:rPr>
    </w:lvl>
    <w:lvl w:ilvl="8">
      <w:start w:val="0"/>
      <w:numFmt w:val="bullet"/>
      <w:lvlText w:val="•"/>
      <w:lvlJc w:val="left"/>
      <w:pPr>
        <w:ind w:left="8725" w:hanging="360"/>
      </w:pPr>
      <w:rPr>
        <w:rFonts w:hint="default"/>
        <w:lang w:val="en-us" w:eastAsia="en-us" w:bidi="en-us"/>
      </w:rPr>
    </w:lvl>
  </w:abstractNum>
  <w:abstractNum w:abstractNumId="8">
    <w:multiLevelType w:val="hybridMultilevel"/>
    <w:lvl w:ilvl="0">
      <w:start w:val="0"/>
      <w:numFmt w:val="bullet"/>
      <w:lvlText w:val=""/>
      <w:lvlJc w:val="left"/>
      <w:pPr>
        <w:ind w:left="827" w:hanging="360"/>
      </w:pPr>
      <w:rPr>
        <w:rFonts w:hint="default" w:ascii="Symbol" w:hAnsi="Symbol" w:eastAsia="Symbol" w:cs="Symbol"/>
        <w:color w:val="252525"/>
        <w:w w:val="100"/>
        <w:sz w:val="22"/>
        <w:szCs w:val="22"/>
        <w:lang w:val="en-us" w:eastAsia="en-us" w:bidi="en-us"/>
      </w:rPr>
    </w:lvl>
    <w:lvl w:ilvl="1">
      <w:start w:val="0"/>
      <w:numFmt w:val="bullet"/>
      <w:lvlText w:val="•"/>
      <w:lvlJc w:val="left"/>
      <w:pPr>
        <w:ind w:left="1204" w:hanging="360"/>
      </w:pPr>
      <w:rPr>
        <w:rFonts w:hint="default"/>
        <w:lang w:val="en-us" w:eastAsia="en-us" w:bidi="en-us"/>
      </w:rPr>
    </w:lvl>
    <w:lvl w:ilvl="2">
      <w:start w:val="0"/>
      <w:numFmt w:val="bullet"/>
      <w:lvlText w:val="•"/>
      <w:lvlJc w:val="left"/>
      <w:pPr>
        <w:ind w:left="1589" w:hanging="360"/>
      </w:pPr>
      <w:rPr>
        <w:rFonts w:hint="default"/>
        <w:lang w:val="en-us" w:eastAsia="en-us" w:bidi="en-us"/>
      </w:rPr>
    </w:lvl>
    <w:lvl w:ilvl="3">
      <w:start w:val="0"/>
      <w:numFmt w:val="bullet"/>
      <w:lvlText w:val="•"/>
      <w:lvlJc w:val="left"/>
      <w:pPr>
        <w:ind w:left="1973" w:hanging="360"/>
      </w:pPr>
      <w:rPr>
        <w:rFonts w:hint="default"/>
        <w:lang w:val="en-us" w:eastAsia="en-us" w:bidi="en-us"/>
      </w:rPr>
    </w:lvl>
    <w:lvl w:ilvl="4">
      <w:start w:val="0"/>
      <w:numFmt w:val="bullet"/>
      <w:lvlText w:val="•"/>
      <w:lvlJc w:val="left"/>
      <w:pPr>
        <w:ind w:left="2358" w:hanging="360"/>
      </w:pPr>
      <w:rPr>
        <w:rFonts w:hint="default"/>
        <w:lang w:val="en-us" w:eastAsia="en-us" w:bidi="en-us"/>
      </w:rPr>
    </w:lvl>
    <w:lvl w:ilvl="5">
      <w:start w:val="0"/>
      <w:numFmt w:val="bullet"/>
      <w:lvlText w:val="•"/>
      <w:lvlJc w:val="left"/>
      <w:pPr>
        <w:ind w:left="2743" w:hanging="360"/>
      </w:pPr>
      <w:rPr>
        <w:rFonts w:hint="default"/>
        <w:lang w:val="en-us" w:eastAsia="en-us" w:bidi="en-us"/>
      </w:rPr>
    </w:lvl>
    <w:lvl w:ilvl="6">
      <w:start w:val="0"/>
      <w:numFmt w:val="bullet"/>
      <w:lvlText w:val="•"/>
      <w:lvlJc w:val="left"/>
      <w:pPr>
        <w:ind w:left="3127" w:hanging="360"/>
      </w:pPr>
      <w:rPr>
        <w:rFonts w:hint="default"/>
        <w:lang w:val="en-us" w:eastAsia="en-us" w:bidi="en-us"/>
      </w:rPr>
    </w:lvl>
    <w:lvl w:ilvl="7">
      <w:start w:val="0"/>
      <w:numFmt w:val="bullet"/>
      <w:lvlText w:val="•"/>
      <w:lvlJc w:val="left"/>
      <w:pPr>
        <w:ind w:left="3512" w:hanging="360"/>
      </w:pPr>
      <w:rPr>
        <w:rFonts w:hint="default"/>
        <w:lang w:val="en-us" w:eastAsia="en-us" w:bidi="en-us"/>
      </w:rPr>
    </w:lvl>
    <w:lvl w:ilvl="8">
      <w:start w:val="0"/>
      <w:numFmt w:val="bullet"/>
      <w:lvlText w:val="•"/>
      <w:lvlJc w:val="left"/>
      <w:pPr>
        <w:ind w:left="3896" w:hanging="360"/>
      </w:pPr>
      <w:rPr>
        <w:rFonts w:hint="default"/>
        <w:lang w:val="en-us" w:eastAsia="en-us" w:bidi="en-us"/>
      </w:rPr>
    </w:lvl>
  </w:abstractNum>
  <w:abstractNum w:abstractNumId="7">
    <w:multiLevelType w:val="hybridMultilevel"/>
    <w:lvl w:ilvl="0">
      <w:start w:val="0"/>
      <w:numFmt w:val="bullet"/>
      <w:lvlText w:val=""/>
      <w:lvlJc w:val="left"/>
      <w:pPr>
        <w:ind w:left="827" w:hanging="360"/>
      </w:pPr>
      <w:rPr>
        <w:rFonts w:hint="default" w:ascii="Symbol" w:hAnsi="Symbol" w:eastAsia="Symbol" w:cs="Symbol"/>
        <w:color w:val="252525"/>
        <w:w w:val="100"/>
        <w:sz w:val="22"/>
        <w:szCs w:val="22"/>
        <w:lang w:val="en-us" w:eastAsia="en-us" w:bidi="en-us"/>
      </w:rPr>
    </w:lvl>
    <w:lvl w:ilvl="1">
      <w:start w:val="0"/>
      <w:numFmt w:val="bullet"/>
      <w:lvlText w:val="•"/>
      <w:lvlJc w:val="left"/>
      <w:pPr>
        <w:ind w:left="1204" w:hanging="360"/>
      </w:pPr>
      <w:rPr>
        <w:rFonts w:hint="default"/>
        <w:lang w:val="en-us" w:eastAsia="en-us" w:bidi="en-us"/>
      </w:rPr>
    </w:lvl>
    <w:lvl w:ilvl="2">
      <w:start w:val="0"/>
      <w:numFmt w:val="bullet"/>
      <w:lvlText w:val="•"/>
      <w:lvlJc w:val="left"/>
      <w:pPr>
        <w:ind w:left="1589" w:hanging="360"/>
      </w:pPr>
      <w:rPr>
        <w:rFonts w:hint="default"/>
        <w:lang w:val="en-us" w:eastAsia="en-us" w:bidi="en-us"/>
      </w:rPr>
    </w:lvl>
    <w:lvl w:ilvl="3">
      <w:start w:val="0"/>
      <w:numFmt w:val="bullet"/>
      <w:lvlText w:val="•"/>
      <w:lvlJc w:val="left"/>
      <w:pPr>
        <w:ind w:left="1973" w:hanging="360"/>
      </w:pPr>
      <w:rPr>
        <w:rFonts w:hint="default"/>
        <w:lang w:val="en-us" w:eastAsia="en-us" w:bidi="en-us"/>
      </w:rPr>
    </w:lvl>
    <w:lvl w:ilvl="4">
      <w:start w:val="0"/>
      <w:numFmt w:val="bullet"/>
      <w:lvlText w:val="•"/>
      <w:lvlJc w:val="left"/>
      <w:pPr>
        <w:ind w:left="2358" w:hanging="360"/>
      </w:pPr>
      <w:rPr>
        <w:rFonts w:hint="default"/>
        <w:lang w:val="en-us" w:eastAsia="en-us" w:bidi="en-us"/>
      </w:rPr>
    </w:lvl>
    <w:lvl w:ilvl="5">
      <w:start w:val="0"/>
      <w:numFmt w:val="bullet"/>
      <w:lvlText w:val="•"/>
      <w:lvlJc w:val="left"/>
      <w:pPr>
        <w:ind w:left="2743" w:hanging="360"/>
      </w:pPr>
      <w:rPr>
        <w:rFonts w:hint="default"/>
        <w:lang w:val="en-us" w:eastAsia="en-us" w:bidi="en-us"/>
      </w:rPr>
    </w:lvl>
    <w:lvl w:ilvl="6">
      <w:start w:val="0"/>
      <w:numFmt w:val="bullet"/>
      <w:lvlText w:val="•"/>
      <w:lvlJc w:val="left"/>
      <w:pPr>
        <w:ind w:left="3127" w:hanging="360"/>
      </w:pPr>
      <w:rPr>
        <w:rFonts w:hint="default"/>
        <w:lang w:val="en-us" w:eastAsia="en-us" w:bidi="en-us"/>
      </w:rPr>
    </w:lvl>
    <w:lvl w:ilvl="7">
      <w:start w:val="0"/>
      <w:numFmt w:val="bullet"/>
      <w:lvlText w:val="•"/>
      <w:lvlJc w:val="left"/>
      <w:pPr>
        <w:ind w:left="3512" w:hanging="360"/>
      </w:pPr>
      <w:rPr>
        <w:rFonts w:hint="default"/>
        <w:lang w:val="en-us" w:eastAsia="en-us" w:bidi="en-us"/>
      </w:rPr>
    </w:lvl>
    <w:lvl w:ilvl="8">
      <w:start w:val="0"/>
      <w:numFmt w:val="bullet"/>
      <w:lvlText w:val="•"/>
      <w:lvlJc w:val="left"/>
      <w:pPr>
        <w:ind w:left="3896" w:hanging="360"/>
      </w:pPr>
      <w:rPr>
        <w:rFonts w:hint="default"/>
        <w:lang w:val="en-us" w:eastAsia="en-us" w:bidi="en-us"/>
      </w:rPr>
    </w:lvl>
  </w:abstractNum>
  <w:abstractNum w:abstractNumId="6">
    <w:multiLevelType w:val="hybridMultilevel"/>
    <w:lvl w:ilvl="0">
      <w:start w:val="1"/>
      <w:numFmt w:val="decimal"/>
      <w:lvlText w:val="%1."/>
      <w:lvlJc w:val="left"/>
      <w:pPr>
        <w:ind w:left="1540" w:hanging="360"/>
        <w:jc w:val="left"/>
      </w:pPr>
      <w:rPr>
        <w:rFonts w:hint="default" w:ascii="Cambria" w:hAnsi="Cambria" w:eastAsia="Cambria" w:cs="Cambria"/>
        <w:color w:val="252525"/>
        <w:w w:val="100"/>
        <w:sz w:val="22"/>
        <w:szCs w:val="22"/>
        <w:lang w:val="en-us" w:eastAsia="en-us" w:bidi="en-us"/>
      </w:rPr>
    </w:lvl>
    <w:lvl w:ilvl="1">
      <w:start w:val="0"/>
      <w:numFmt w:val="bullet"/>
      <w:lvlText w:val="•"/>
      <w:lvlJc w:val="left"/>
      <w:pPr>
        <w:ind w:left="2474" w:hanging="360"/>
      </w:pPr>
      <w:rPr>
        <w:rFonts w:hint="default"/>
        <w:lang w:val="en-us" w:eastAsia="en-us" w:bidi="en-us"/>
      </w:rPr>
    </w:lvl>
    <w:lvl w:ilvl="2">
      <w:start w:val="0"/>
      <w:numFmt w:val="bullet"/>
      <w:lvlText w:val="•"/>
      <w:lvlJc w:val="left"/>
      <w:pPr>
        <w:ind w:left="340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76" w:hanging="360"/>
      </w:pPr>
      <w:rPr>
        <w:rFonts w:hint="default"/>
        <w:lang w:val="en-us" w:eastAsia="en-us" w:bidi="en-us"/>
      </w:rPr>
    </w:lvl>
    <w:lvl w:ilvl="5">
      <w:start w:val="0"/>
      <w:numFmt w:val="bullet"/>
      <w:lvlText w:val="•"/>
      <w:lvlJc w:val="left"/>
      <w:pPr>
        <w:ind w:left="6210" w:hanging="360"/>
      </w:pPr>
      <w:rPr>
        <w:rFonts w:hint="default"/>
        <w:lang w:val="en-us" w:eastAsia="en-us" w:bidi="en-us"/>
      </w:rPr>
    </w:lvl>
    <w:lvl w:ilvl="6">
      <w:start w:val="0"/>
      <w:numFmt w:val="bullet"/>
      <w:lvlText w:val="•"/>
      <w:lvlJc w:val="left"/>
      <w:pPr>
        <w:ind w:left="7144" w:hanging="360"/>
      </w:pPr>
      <w:rPr>
        <w:rFonts w:hint="default"/>
        <w:lang w:val="en-us" w:eastAsia="en-us" w:bidi="en-us"/>
      </w:rPr>
    </w:lvl>
    <w:lvl w:ilvl="7">
      <w:start w:val="0"/>
      <w:numFmt w:val="bullet"/>
      <w:lvlText w:val="•"/>
      <w:lvlJc w:val="left"/>
      <w:pPr>
        <w:ind w:left="8078" w:hanging="360"/>
      </w:pPr>
      <w:rPr>
        <w:rFonts w:hint="default"/>
        <w:lang w:val="en-us" w:eastAsia="en-us" w:bidi="en-us"/>
      </w:rPr>
    </w:lvl>
    <w:lvl w:ilvl="8">
      <w:start w:val="0"/>
      <w:numFmt w:val="bullet"/>
      <w:lvlText w:val="•"/>
      <w:lvlJc w:val="left"/>
      <w:pPr>
        <w:ind w:left="9012" w:hanging="360"/>
      </w:pPr>
      <w:rPr>
        <w:rFonts w:hint="default"/>
        <w:lang w:val="en-us" w:eastAsia="en-us" w:bidi="en-us"/>
      </w:rPr>
    </w:lvl>
  </w:abstractNum>
  <w:abstractNum w:abstractNumId="5">
    <w:multiLevelType w:val="hybridMultilevel"/>
    <w:lvl w:ilvl="0">
      <w:start w:val="0"/>
      <w:numFmt w:val="bullet"/>
      <w:lvlText w:val=""/>
      <w:lvlJc w:val="left"/>
      <w:pPr>
        <w:ind w:left="467" w:hanging="360"/>
      </w:pPr>
      <w:rPr>
        <w:rFonts w:hint="default" w:ascii="Symbol" w:hAnsi="Symbol" w:eastAsia="Symbol" w:cs="Symbol"/>
        <w:color w:val="252525"/>
        <w:w w:val="99"/>
        <w:sz w:val="20"/>
        <w:szCs w:val="20"/>
        <w:lang w:val="en-us" w:eastAsia="en-us" w:bidi="en-us"/>
      </w:rPr>
    </w:lvl>
    <w:lvl w:ilvl="1">
      <w:start w:val="0"/>
      <w:numFmt w:val="bullet"/>
      <w:lvlText w:val="•"/>
      <w:lvlJc w:val="left"/>
      <w:pPr>
        <w:ind w:left="577" w:hanging="360"/>
      </w:pPr>
      <w:rPr>
        <w:rFonts w:hint="default"/>
        <w:lang w:val="en-us" w:eastAsia="en-us" w:bidi="en-us"/>
      </w:rPr>
    </w:lvl>
    <w:lvl w:ilvl="2">
      <w:start w:val="0"/>
      <w:numFmt w:val="bullet"/>
      <w:lvlText w:val="•"/>
      <w:lvlJc w:val="left"/>
      <w:pPr>
        <w:ind w:left="695" w:hanging="360"/>
      </w:pPr>
      <w:rPr>
        <w:rFonts w:hint="default"/>
        <w:lang w:val="en-us" w:eastAsia="en-us" w:bidi="en-us"/>
      </w:rPr>
    </w:lvl>
    <w:lvl w:ilvl="3">
      <w:start w:val="0"/>
      <w:numFmt w:val="bullet"/>
      <w:lvlText w:val="•"/>
      <w:lvlJc w:val="left"/>
      <w:pPr>
        <w:ind w:left="813" w:hanging="360"/>
      </w:pPr>
      <w:rPr>
        <w:rFonts w:hint="default"/>
        <w:lang w:val="en-us" w:eastAsia="en-us" w:bidi="en-us"/>
      </w:rPr>
    </w:lvl>
    <w:lvl w:ilvl="4">
      <w:start w:val="0"/>
      <w:numFmt w:val="bullet"/>
      <w:lvlText w:val="•"/>
      <w:lvlJc w:val="left"/>
      <w:pPr>
        <w:ind w:left="930" w:hanging="360"/>
      </w:pPr>
      <w:rPr>
        <w:rFonts w:hint="default"/>
        <w:lang w:val="en-us" w:eastAsia="en-us" w:bidi="en-us"/>
      </w:rPr>
    </w:lvl>
    <w:lvl w:ilvl="5">
      <w:start w:val="0"/>
      <w:numFmt w:val="bullet"/>
      <w:lvlText w:val="•"/>
      <w:lvlJc w:val="left"/>
      <w:pPr>
        <w:ind w:left="1048" w:hanging="360"/>
      </w:pPr>
      <w:rPr>
        <w:rFonts w:hint="default"/>
        <w:lang w:val="en-us" w:eastAsia="en-us" w:bidi="en-us"/>
      </w:rPr>
    </w:lvl>
    <w:lvl w:ilvl="6">
      <w:start w:val="0"/>
      <w:numFmt w:val="bullet"/>
      <w:lvlText w:val="•"/>
      <w:lvlJc w:val="left"/>
      <w:pPr>
        <w:ind w:left="1166" w:hanging="360"/>
      </w:pPr>
      <w:rPr>
        <w:rFonts w:hint="default"/>
        <w:lang w:val="en-us" w:eastAsia="en-us" w:bidi="en-us"/>
      </w:rPr>
    </w:lvl>
    <w:lvl w:ilvl="7">
      <w:start w:val="0"/>
      <w:numFmt w:val="bullet"/>
      <w:lvlText w:val="•"/>
      <w:lvlJc w:val="left"/>
      <w:pPr>
        <w:ind w:left="1283" w:hanging="360"/>
      </w:pPr>
      <w:rPr>
        <w:rFonts w:hint="default"/>
        <w:lang w:val="en-us" w:eastAsia="en-us" w:bidi="en-us"/>
      </w:rPr>
    </w:lvl>
    <w:lvl w:ilvl="8">
      <w:start w:val="0"/>
      <w:numFmt w:val="bullet"/>
      <w:lvlText w:val="•"/>
      <w:lvlJc w:val="left"/>
      <w:pPr>
        <w:ind w:left="1401" w:hanging="360"/>
      </w:pPr>
      <w:rPr>
        <w:rFonts w:hint="default"/>
        <w:lang w:val="en-us" w:eastAsia="en-us" w:bidi="en-us"/>
      </w:rPr>
    </w:lvl>
  </w:abstractNum>
  <w:abstractNum w:abstractNumId="4">
    <w:multiLevelType w:val="hybridMultilevel"/>
    <w:lvl w:ilvl="0">
      <w:start w:val="0"/>
      <w:numFmt w:val="bullet"/>
      <w:lvlText w:val=""/>
      <w:lvlJc w:val="left"/>
      <w:pPr>
        <w:ind w:left="467" w:hanging="360"/>
      </w:pPr>
      <w:rPr>
        <w:rFonts w:hint="default" w:ascii="Symbol" w:hAnsi="Symbol" w:eastAsia="Symbol" w:cs="Symbol"/>
        <w:color w:val="252525"/>
        <w:w w:val="99"/>
        <w:sz w:val="20"/>
        <w:szCs w:val="20"/>
        <w:lang w:val="en-us" w:eastAsia="en-us" w:bidi="en-us"/>
      </w:rPr>
    </w:lvl>
    <w:lvl w:ilvl="1">
      <w:start w:val="0"/>
      <w:numFmt w:val="bullet"/>
      <w:lvlText w:val="•"/>
      <w:lvlJc w:val="left"/>
      <w:pPr>
        <w:ind w:left="577" w:hanging="360"/>
      </w:pPr>
      <w:rPr>
        <w:rFonts w:hint="default"/>
        <w:lang w:val="en-us" w:eastAsia="en-us" w:bidi="en-us"/>
      </w:rPr>
    </w:lvl>
    <w:lvl w:ilvl="2">
      <w:start w:val="0"/>
      <w:numFmt w:val="bullet"/>
      <w:lvlText w:val="•"/>
      <w:lvlJc w:val="left"/>
      <w:pPr>
        <w:ind w:left="695" w:hanging="360"/>
      </w:pPr>
      <w:rPr>
        <w:rFonts w:hint="default"/>
        <w:lang w:val="en-us" w:eastAsia="en-us" w:bidi="en-us"/>
      </w:rPr>
    </w:lvl>
    <w:lvl w:ilvl="3">
      <w:start w:val="0"/>
      <w:numFmt w:val="bullet"/>
      <w:lvlText w:val="•"/>
      <w:lvlJc w:val="left"/>
      <w:pPr>
        <w:ind w:left="813" w:hanging="360"/>
      </w:pPr>
      <w:rPr>
        <w:rFonts w:hint="default"/>
        <w:lang w:val="en-us" w:eastAsia="en-us" w:bidi="en-us"/>
      </w:rPr>
    </w:lvl>
    <w:lvl w:ilvl="4">
      <w:start w:val="0"/>
      <w:numFmt w:val="bullet"/>
      <w:lvlText w:val="•"/>
      <w:lvlJc w:val="left"/>
      <w:pPr>
        <w:ind w:left="930" w:hanging="360"/>
      </w:pPr>
      <w:rPr>
        <w:rFonts w:hint="default"/>
        <w:lang w:val="en-us" w:eastAsia="en-us" w:bidi="en-us"/>
      </w:rPr>
    </w:lvl>
    <w:lvl w:ilvl="5">
      <w:start w:val="0"/>
      <w:numFmt w:val="bullet"/>
      <w:lvlText w:val="•"/>
      <w:lvlJc w:val="left"/>
      <w:pPr>
        <w:ind w:left="1048" w:hanging="360"/>
      </w:pPr>
      <w:rPr>
        <w:rFonts w:hint="default"/>
        <w:lang w:val="en-us" w:eastAsia="en-us" w:bidi="en-us"/>
      </w:rPr>
    </w:lvl>
    <w:lvl w:ilvl="6">
      <w:start w:val="0"/>
      <w:numFmt w:val="bullet"/>
      <w:lvlText w:val="•"/>
      <w:lvlJc w:val="left"/>
      <w:pPr>
        <w:ind w:left="1166" w:hanging="360"/>
      </w:pPr>
      <w:rPr>
        <w:rFonts w:hint="default"/>
        <w:lang w:val="en-us" w:eastAsia="en-us" w:bidi="en-us"/>
      </w:rPr>
    </w:lvl>
    <w:lvl w:ilvl="7">
      <w:start w:val="0"/>
      <w:numFmt w:val="bullet"/>
      <w:lvlText w:val="•"/>
      <w:lvlJc w:val="left"/>
      <w:pPr>
        <w:ind w:left="1283" w:hanging="360"/>
      </w:pPr>
      <w:rPr>
        <w:rFonts w:hint="default"/>
        <w:lang w:val="en-us" w:eastAsia="en-us" w:bidi="en-us"/>
      </w:rPr>
    </w:lvl>
    <w:lvl w:ilvl="8">
      <w:start w:val="0"/>
      <w:numFmt w:val="bullet"/>
      <w:lvlText w:val="•"/>
      <w:lvlJc w:val="left"/>
      <w:pPr>
        <w:ind w:left="1401" w:hanging="360"/>
      </w:pPr>
      <w:rPr>
        <w:rFonts w:hint="default"/>
        <w:lang w:val="en-us" w:eastAsia="en-us" w:bidi="en-us"/>
      </w:rPr>
    </w:lvl>
  </w:abstractNum>
  <w:abstractNum w:abstractNumId="3">
    <w:multiLevelType w:val="hybridMultilevel"/>
    <w:lvl w:ilvl="0">
      <w:start w:val="0"/>
      <w:numFmt w:val="bullet"/>
      <w:lvlText w:val="—"/>
      <w:lvlJc w:val="left"/>
      <w:pPr>
        <w:ind w:left="820" w:hanging="269"/>
      </w:pPr>
      <w:rPr>
        <w:rFonts w:hint="default" w:ascii="Cambria" w:hAnsi="Cambria" w:eastAsia="Cambria" w:cs="Cambria"/>
        <w:color w:val="252525"/>
        <w:w w:val="100"/>
        <w:sz w:val="22"/>
        <w:szCs w:val="22"/>
        <w:lang w:val="en-us" w:eastAsia="en-us" w:bidi="en-us"/>
      </w:rPr>
    </w:lvl>
    <w:lvl w:ilvl="1">
      <w:start w:val="0"/>
      <w:numFmt w:val="bullet"/>
      <w:lvlText w:val=""/>
      <w:lvlJc w:val="left"/>
      <w:pPr>
        <w:ind w:left="1540" w:hanging="360"/>
      </w:pPr>
      <w:rPr>
        <w:rFonts w:hint="default"/>
        <w:w w:val="100"/>
        <w:lang w:val="en-us" w:eastAsia="en-us" w:bidi="en-us"/>
      </w:rPr>
    </w:lvl>
    <w:lvl w:ilvl="2">
      <w:start w:val="0"/>
      <w:numFmt w:val="bullet"/>
      <w:lvlText w:val="•"/>
      <w:lvlJc w:val="left"/>
      <w:pPr>
        <w:ind w:left="2577" w:hanging="360"/>
      </w:pPr>
      <w:rPr>
        <w:rFonts w:hint="default"/>
        <w:lang w:val="en-us" w:eastAsia="en-us" w:bidi="en-us"/>
      </w:rPr>
    </w:lvl>
    <w:lvl w:ilvl="3">
      <w:start w:val="0"/>
      <w:numFmt w:val="bullet"/>
      <w:lvlText w:val="•"/>
      <w:lvlJc w:val="left"/>
      <w:pPr>
        <w:ind w:left="3615" w:hanging="360"/>
      </w:pPr>
      <w:rPr>
        <w:rFonts w:hint="default"/>
        <w:lang w:val="en-us" w:eastAsia="en-us" w:bidi="en-us"/>
      </w:rPr>
    </w:lvl>
    <w:lvl w:ilvl="4">
      <w:start w:val="0"/>
      <w:numFmt w:val="bullet"/>
      <w:lvlText w:val="•"/>
      <w:lvlJc w:val="left"/>
      <w:pPr>
        <w:ind w:left="4653" w:hanging="360"/>
      </w:pPr>
      <w:rPr>
        <w:rFonts w:hint="default"/>
        <w:lang w:val="en-us" w:eastAsia="en-us" w:bidi="en-us"/>
      </w:rPr>
    </w:lvl>
    <w:lvl w:ilvl="5">
      <w:start w:val="0"/>
      <w:numFmt w:val="bullet"/>
      <w:lvlText w:val="•"/>
      <w:lvlJc w:val="left"/>
      <w:pPr>
        <w:ind w:left="5691" w:hanging="360"/>
      </w:pPr>
      <w:rPr>
        <w:rFonts w:hint="default"/>
        <w:lang w:val="en-us" w:eastAsia="en-us" w:bidi="en-us"/>
      </w:rPr>
    </w:lvl>
    <w:lvl w:ilvl="6">
      <w:start w:val="0"/>
      <w:numFmt w:val="bullet"/>
      <w:lvlText w:val="•"/>
      <w:lvlJc w:val="left"/>
      <w:pPr>
        <w:ind w:left="6728" w:hanging="360"/>
      </w:pPr>
      <w:rPr>
        <w:rFonts w:hint="default"/>
        <w:lang w:val="en-us" w:eastAsia="en-us" w:bidi="en-us"/>
      </w:rPr>
    </w:lvl>
    <w:lvl w:ilvl="7">
      <w:start w:val="0"/>
      <w:numFmt w:val="bullet"/>
      <w:lvlText w:val="•"/>
      <w:lvlJc w:val="left"/>
      <w:pPr>
        <w:ind w:left="7766" w:hanging="360"/>
      </w:pPr>
      <w:rPr>
        <w:rFonts w:hint="default"/>
        <w:lang w:val="en-us" w:eastAsia="en-us" w:bidi="en-us"/>
      </w:rPr>
    </w:lvl>
    <w:lvl w:ilvl="8">
      <w:start w:val="0"/>
      <w:numFmt w:val="bullet"/>
      <w:lvlText w:val="•"/>
      <w:lvlJc w:val="left"/>
      <w:pPr>
        <w:ind w:left="8804" w:hanging="360"/>
      </w:pPr>
      <w:rPr>
        <w:rFonts w:hint="default"/>
        <w:lang w:val="en-us" w:eastAsia="en-us" w:bidi="en-us"/>
      </w:rPr>
    </w:lvl>
  </w:abstractNum>
  <w:abstractNum w:abstractNumId="2">
    <w:multiLevelType w:val="hybridMultilevel"/>
    <w:lvl w:ilvl="0">
      <w:start w:val="0"/>
      <w:numFmt w:val="bullet"/>
      <w:lvlText w:val=""/>
      <w:lvlJc w:val="left"/>
      <w:pPr>
        <w:ind w:left="1540" w:hanging="360"/>
      </w:pPr>
      <w:rPr>
        <w:rFonts w:hint="default"/>
        <w:w w:val="100"/>
        <w:lang w:val="en-us" w:eastAsia="en-us" w:bidi="en-us"/>
      </w:rPr>
    </w:lvl>
    <w:lvl w:ilvl="1">
      <w:start w:val="0"/>
      <w:numFmt w:val="bullet"/>
      <w:lvlText w:val="•"/>
      <w:lvlJc w:val="left"/>
      <w:pPr>
        <w:ind w:left="2474" w:hanging="360"/>
      </w:pPr>
      <w:rPr>
        <w:rFonts w:hint="default"/>
        <w:lang w:val="en-us" w:eastAsia="en-us" w:bidi="en-us"/>
      </w:rPr>
    </w:lvl>
    <w:lvl w:ilvl="2">
      <w:start w:val="0"/>
      <w:numFmt w:val="bullet"/>
      <w:lvlText w:val="•"/>
      <w:lvlJc w:val="left"/>
      <w:pPr>
        <w:ind w:left="340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76" w:hanging="360"/>
      </w:pPr>
      <w:rPr>
        <w:rFonts w:hint="default"/>
        <w:lang w:val="en-us" w:eastAsia="en-us" w:bidi="en-us"/>
      </w:rPr>
    </w:lvl>
    <w:lvl w:ilvl="5">
      <w:start w:val="0"/>
      <w:numFmt w:val="bullet"/>
      <w:lvlText w:val="•"/>
      <w:lvlJc w:val="left"/>
      <w:pPr>
        <w:ind w:left="6210" w:hanging="360"/>
      </w:pPr>
      <w:rPr>
        <w:rFonts w:hint="default"/>
        <w:lang w:val="en-us" w:eastAsia="en-us" w:bidi="en-us"/>
      </w:rPr>
    </w:lvl>
    <w:lvl w:ilvl="6">
      <w:start w:val="0"/>
      <w:numFmt w:val="bullet"/>
      <w:lvlText w:val="•"/>
      <w:lvlJc w:val="left"/>
      <w:pPr>
        <w:ind w:left="7144" w:hanging="360"/>
      </w:pPr>
      <w:rPr>
        <w:rFonts w:hint="default"/>
        <w:lang w:val="en-us" w:eastAsia="en-us" w:bidi="en-us"/>
      </w:rPr>
    </w:lvl>
    <w:lvl w:ilvl="7">
      <w:start w:val="0"/>
      <w:numFmt w:val="bullet"/>
      <w:lvlText w:val="•"/>
      <w:lvlJc w:val="left"/>
      <w:pPr>
        <w:ind w:left="8078" w:hanging="360"/>
      </w:pPr>
      <w:rPr>
        <w:rFonts w:hint="default"/>
        <w:lang w:val="en-us" w:eastAsia="en-us" w:bidi="en-us"/>
      </w:rPr>
    </w:lvl>
    <w:lvl w:ilvl="8">
      <w:start w:val="0"/>
      <w:numFmt w:val="bullet"/>
      <w:lvlText w:val="•"/>
      <w:lvlJc w:val="left"/>
      <w:pPr>
        <w:ind w:left="9012" w:hanging="360"/>
      </w:pPr>
      <w:rPr>
        <w:rFonts w:hint="default"/>
        <w:lang w:val="en-us" w:eastAsia="en-us" w:bidi="en-us"/>
      </w:rPr>
    </w:lvl>
  </w:abstractNum>
  <w:abstractNum w:abstractNumId="1">
    <w:multiLevelType w:val="hybridMultilevel"/>
    <w:lvl w:ilvl="0">
      <w:start w:val="1"/>
      <w:numFmt w:val="lowerLetter"/>
      <w:lvlText w:val="(%1)"/>
      <w:lvlJc w:val="left"/>
      <w:pPr>
        <w:ind w:left="1540" w:hanging="360"/>
        <w:jc w:val="left"/>
      </w:pPr>
      <w:rPr>
        <w:rFonts w:hint="default" w:ascii="Cambria" w:hAnsi="Cambria" w:eastAsia="Cambria" w:cs="Cambria"/>
        <w:w w:val="99"/>
        <w:sz w:val="20"/>
        <w:szCs w:val="20"/>
        <w:lang w:val="en-us" w:eastAsia="en-us" w:bidi="en-us"/>
      </w:rPr>
    </w:lvl>
    <w:lvl w:ilvl="1">
      <w:start w:val="0"/>
      <w:numFmt w:val="bullet"/>
      <w:lvlText w:val="•"/>
      <w:lvlJc w:val="left"/>
      <w:pPr>
        <w:ind w:left="2474" w:hanging="360"/>
      </w:pPr>
      <w:rPr>
        <w:rFonts w:hint="default"/>
        <w:lang w:val="en-us" w:eastAsia="en-us" w:bidi="en-us"/>
      </w:rPr>
    </w:lvl>
    <w:lvl w:ilvl="2">
      <w:start w:val="0"/>
      <w:numFmt w:val="bullet"/>
      <w:lvlText w:val="•"/>
      <w:lvlJc w:val="left"/>
      <w:pPr>
        <w:ind w:left="340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76" w:hanging="360"/>
      </w:pPr>
      <w:rPr>
        <w:rFonts w:hint="default"/>
        <w:lang w:val="en-us" w:eastAsia="en-us" w:bidi="en-us"/>
      </w:rPr>
    </w:lvl>
    <w:lvl w:ilvl="5">
      <w:start w:val="0"/>
      <w:numFmt w:val="bullet"/>
      <w:lvlText w:val="•"/>
      <w:lvlJc w:val="left"/>
      <w:pPr>
        <w:ind w:left="6210" w:hanging="360"/>
      </w:pPr>
      <w:rPr>
        <w:rFonts w:hint="default"/>
        <w:lang w:val="en-us" w:eastAsia="en-us" w:bidi="en-us"/>
      </w:rPr>
    </w:lvl>
    <w:lvl w:ilvl="6">
      <w:start w:val="0"/>
      <w:numFmt w:val="bullet"/>
      <w:lvlText w:val="•"/>
      <w:lvlJc w:val="left"/>
      <w:pPr>
        <w:ind w:left="7144" w:hanging="360"/>
      </w:pPr>
      <w:rPr>
        <w:rFonts w:hint="default"/>
        <w:lang w:val="en-us" w:eastAsia="en-us" w:bidi="en-us"/>
      </w:rPr>
    </w:lvl>
    <w:lvl w:ilvl="7">
      <w:start w:val="0"/>
      <w:numFmt w:val="bullet"/>
      <w:lvlText w:val="•"/>
      <w:lvlJc w:val="left"/>
      <w:pPr>
        <w:ind w:left="8078" w:hanging="360"/>
      </w:pPr>
      <w:rPr>
        <w:rFonts w:hint="default"/>
        <w:lang w:val="en-us" w:eastAsia="en-us" w:bidi="en-us"/>
      </w:rPr>
    </w:lvl>
    <w:lvl w:ilvl="8">
      <w:start w:val="0"/>
      <w:numFmt w:val="bullet"/>
      <w:lvlText w:val="•"/>
      <w:lvlJc w:val="left"/>
      <w:pPr>
        <w:ind w:left="9012" w:hanging="360"/>
      </w:pPr>
      <w:rPr>
        <w:rFonts w:hint="default"/>
        <w:lang w:val="en-us" w:eastAsia="en-us" w:bidi="en-us"/>
      </w:rPr>
    </w:lvl>
  </w:abstractNum>
  <w:abstractNum w:abstractNumId="0">
    <w:multiLevelType w:val="hybridMultilevel"/>
    <w:lvl w:ilvl="0">
      <w:start w:val="1"/>
      <w:numFmt w:val="upperLetter"/>
      <w:lvlText w:val="%1."/>
      <w:lvlJc w:val="left"/>
      <w:pPr>
        <w:ind w:left="1540" w:hanging="360"/>
        <w:jc w:val="left"/>
      </w:pPr>
      <w:rPr>
        <w:rFonts w:hint="default" w:ascii="Cambria" w:hAnsi="Cambria" w:eastAsia="Cambria" w:cs="Cambria"/>
        <w:spacing w:val="-1"/>
        <w:w w:val="100"/>
        <w:sz w:val="22"/>
        <w:szCs w:val="22"/>
        <w:lang w:val="en-us" w:eastAsia="en-us" w:bidi="en-us"/>
      </w:rPr>
    </w:lvl>
    <w:lvl w:ilvl="1">
      <w:start w:val="0"/>
      <w:numFmt w:val="bullet"/>
      <w:lvlText w:val=""/>
      <w:lvlJc w:val="left"/>
      <w:pPr>
        <w:ind w:left="2260" w:hanging="360"/>
      </w:pPr>
      <w:rPr>
        <w:rFonts w:hint="default" w:ascii="Symbol" w:hAnsi="Symbol" w:eastAsia="Symbol" w:cs="Symbol"/>
        <w:w w:val="100"/>
        <w:sz w:val="16"/>
        <w:szCs w:val="16"/>
        <w:lang w:val="en-us" w:eastAsia="en-us" w:bidi="en-us"/>
      </w:rPr>
    </w:lvl>
    <w:lvl w:ilvl="2">
      <w:start w:val="0"/>
      <w:numFmt w:val="bullet"/>
      <w:lvlText w:val="•"/>
      <w:lvlJc w:val="left"/>
      <w:pPr>
        <w:ind w:left="3217" w:hanging="360"/>
      </w:pPr>
      <w:rPr>
        <w:rFonts w:hint="default"/>
        <w:lang w:val="en-us" w:eastAsia="en-us" w:bidi="en-us"/>
      </w:rPr>
    </w:lvl>
    <w:lvl w:ilvl="3">
      <w:start w:val="0"/>
      <w:numFmt w:val="bullet"/>
      <w:lvlText w:val="•"/>
      <w:lvlJc w:val="left"/>
      <w:pPr>
        <w:ind w:left="4175" w:hanging="360"/>
      </w:pPr>
      <w:rPr>
        <w:rFonts w:hint="default"/>
        <w:lang w:val="en-us" w:eastAsia="en-us" w:bidi="en-us"/>
      </w:rPr>
    </w:lvl>
    <w:lvl w:ilvl="4">
      <w:start w:val="0"/>
      <w:numFmt w:val="bullet"/>
      <w:lvlText w:val="•"/>
      <w:lvlJc w:val="left"/>
      <w:pPr>
        <w:ind w:left="5133" w:hanging="360"/>
      </w:pPr>
      <w:rPr>
        <w:rFonts w:hint="default"/>
        <w:lang w:val="en-us" w:eastAsia="en-us" w:bidi="en-us"/>
      </w:rPr>
    </w:lvl>
    <w:lvl w:ilvl="5">
      <w:start w:val="0"/>
      <w:numFmt w:val="bullet"/>
      <w:lvlText w:val="•"/>
      <w:lvlJc w:val="left"/>
      <w:pPr>
        <w:ind w:left="6091" w:hanging="360"/>
      </w:pPr>
      <w:rPr>
        <w:rFonts w:hint="default"/>
        <w:lang w:val="en-us" w:eastAsia="en-us" w:bidi="en-us"/>
      </w:rPr>
    </w:lvl>
    <w:lvl w:ilvl="6">
      <w:start w:val="0"/>
      <w:numFmt w:val="bullet"/>
      <w:lvlText w:val="•"/>
      <w:lvlJc w:val="left"/>
      <w:pPr>
        <w:ind w:left="7048" w:hanging="360"/>
      </w:pPr>
      <w:rPr>
        <w:rFonts w:hint="default"/>
        <w:lang w:val="en-us" w:eastAsia="en-us" w:bidi="en-us"/>
      </w:rPr>
    </w:lvl>
    <w:lvl w:ilvl="7">
      <w:start w:val="0"/>
      <w:numFmt w:val="bullet"/>
      <w:lvlText w:val="•"/>
      <w:lvlJc w:val="left"/>
      <w:pPr>
        <w:ind w:left="8006" w:hanging="360"/>
      </w:pPr>
      <w:rPr>
        <w:rFonts w:hint="default"/>
        <w:lang w:val="en-us" w:eastAsia="en-us" w:bidi="en-us"/>
      </w:rPr>
    </w:lvl>
    <w:lvl w:ilvl="8">
      <w:start w:val="0"/>
      <w:numFmt w:val="bullet"/>
      <w:lvlText w:val="•"/>
      <w:lvlJc w:val="left"/>
      <w:pPr>
        <w:ind w:left="8964" w:hanging="360"/>
      </w:pPr>
      <w:rPr>
        <w:rFonts w:hint="default"/>
        <w:lang w:val="en-us" w:eastAsia="en-us" w:bidi="en-u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TOC1" w:type="paragraph">
    <w:name w:val="TOC 1"/>
    <w:basedOn w:val="Normal"/>
    <w:uiPriority w:val="1"/>
    <w:qFormat/>
    <w:pPr>
      <w:spacing w:before="138"/>
      <w:ind w:left="820"/>
    </w:pPr>
    <w:rPr>
      <w:rFonts w:ascii="Cambria" w:hAnsi="Cambria" w:eastAsia="Cambria" w:cs="Cambria"/>
      <w:sz w:val="22"/>
      <w:szCs w:val="22"/>
      <w:lang w:val="en-us" w:eastAsia="en-us" w:bidi="en-us"/>
    </w:rPr>
  </w:style>
  <w:style w:styleId="TOC2" w:type="paragraph">
    <w:name w:val="TOC 2"/>
    <w:basedOn w:val="Normal"/>
    <w:uiPriority w:val="1"/>
    <w:qFormat/>
    <w:pPr>
      <w:spacing w:before="138"/>
      <w:ind w:left="1271"/>
    </w:pPr>
    <w:rPr>
      <w:rFonts w:ascii="Cambria" w:hAnsi="Cambria" w:eastAsia="Cambria" w:cs="Cambria"/>
      <w:sz w:val="22"/>
      <w:szCs w:val="22"/>
      <w:lang w:val="en-us" w:eastAsia="en-us" w:bidi="en-us"/>
    </w:rPr>
  </w:style>
  <w:style w:styleId="BodyText" w:type="paragraph">
    <w:name w:val="Body Text"/>
    <w:basedOn w:val="Normal"/>
    <w:uiPriority w:val="1"/>
    <w:qFormat/>
    <w:pPr/>
    <w:rPr>
      <w:rFonts w:ascii="Cambria" w:hAnsi="Cambria" w:eastAsia="Cambria" w:cs="Cambria"/>
      <w:sz w:val="22"/>
      <w:szCs w:val="22"/>
      <w:lang w:val="en-us" w:eastAsia="en-us" w:bidi="en-us"/>
    </w:rPr>
  </w:style>
  <w:style w:styleId="Heading1" w:type="paragraph">
    <w:name w:val="Heading 1"/>
    <w:basedOn w:val="Normal"/>
    <w:uiPriority w:val="1"/>
    <w:qFormat/>
    <w:pPr>
      <w:spacing w:before="79"/>
      <w:ind w:left="820"/>
      <w:outlineLvl w:val="1"/>
    </w:pPr>
    <w:rPr>
      <w:rFonts w:ascii="Tahoma" w:hAnsi="Tahoma" w:eastAsia="Tahoma" w:cs="Tahoma"/>
      <w:sz w:val="44"/>
      <w:szCs w:val="44"/>
      <w:lang w:val="en-us" w:eastAsia="en-us" w:bidi="en-us"/>
    </w:rPr>
  </w:style>
  <w:style w:styleId="Heading2" w:type="paragraph">
    <w:name w:val="Heading 2"/>
    <w:basedOn w:val="Normal"/>
    <w:uiPriority w:val="1"/>
    <w:qFormat/>
    <w:pPr>
      <w:spacing w:before="84"/>
      <w:ind w:left="820"/>
      <w:outlineLvl w:val="2"/>
    </w:pPr>
    <w:rPr>
      <w:rFonts w:ascii="Tahoma" w:hAnsi="Tahoma" w:eastAsia="Tahoma" w:cs="Tahoma"/>
      <w:b/>
      <w:bCs/>
      <w:sz w:val="32"/>
      <w:szCs w:val="32"/>
      <w:lang w:val="en-us" w:eastAsia="en-us" w:bidi="en-us"/>
    </w:rPr>
  </w:style>
  <w:style w:styleId="Heading3" w:type="paragraph">
    <w:name w:val="Heading 3"/>
    <w:basedOn w:val="Normal"/>
    <w:uiPriority w:val="1"/>
    <w:qFormat/>
    <w:pPr>
      <w:spacing w:before="185"/>
      <w:ind w:left="820"/>
      <w:outlineLvl w:val="3"/>
    </w:pPr>
    <w:rPr>
      <w:rFonts w:ascii="Courier New" w:hAnsi="Courier New" w:eastAsia="Courier New" w:cs="Courier New"/>
      <w:sz w:val="32"/>
      <w:szCs w:val="32"/>
      <w:lang w:val="en-us" w:eastAsia="en-us" w:bidi="en-us"/>
    </w:rPr>
  </w:style>
  <w:style w:styleId="Heading4" w:type="paragraph">
    <w:name w:val="Heading 4"/>
    <w:basedOn w:val="Normal"/>
    <w:uiPriority w:val="1"/>
    <w:qFormat/>
    <w:pPr>
      <w:spacing w:before="195"/>
      <w:ind w:left="198"/>
      <w:outlineLvl w:val="4"/>
    </w:pPr>
    <w:rPr>
      <w:rFonts w:ascii="Tahoma" w:hAnsi="Tahoma" w:eastAsia="Tahoma" w:cs="Tahoma"/>
      <w:sz w:val="28"/>
      <w:szCs w:val="28"/>
      <w:lang w:val="en-us" w:eastAsia="en-us" w:bidi="en-us"/>
    </w:rPr>
  </w:style>
  <w:style w:styleId="Heading5" w:type="paragraph">
    <w:name w:val="Heading 5"/>
    <w:basedOn w:val="Normal"/>
    <w:uiPriority w:val="1"/>
    <w:qFormat/>
    <w:pPr>
      <w:spacing w:before="5"/>
      <w:ind w:left="820" w:right="696" w:firstLine="720"/>
      <w:jc w:val="both"/>
      <w:outlineLvl w:val="5"/>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ind w:left="820" w:right="696" w:firstLine="720"/>
      <w:jc w:val="both"/>
    </w:pPr>
    <w:rPr>
      <w:rFonts w:ascii="Courier New" w:hAnsi="Courier New" w:eastAsia="Courier New" w:cs="Courier New"/>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hca.wa.gov/" TargetMode="External"/><Relationship Id="rId8" Type="http://schemas.openxmlformats.org/officeDocument/2006/relationships/hyperlink" Target="http://www.aihc-wa.com/" TargetMode="Externa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hyperlink" Target="http://www.npaihb.org/idea-nw/" TargetMode="Externa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oter" Target="footer3.xml"/><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oter" Target="footer4.xml"/><Relationship Id="rId20" Type="http://schemas.openxmlformats.org/officeDocument/2006/relationships/hyperlink" Target="http://caih.jhu.edu/programs/family-spirit/" TargetMode="External"/><Relationship Id="rId21" Type="http://schemas.openxmlformats.org/officeDocument/2006/relationships/hyperlink" Target="http://healingofthecanoe.org/" TargetMode="External"/><Relationship Id="rId22" Type="http://schemas.openxmlformats.org/officeDocument/2006/relationships/hyperlink" Target="http://www.ncoa.org/wp-content/uploads/WA-Wisdom-Warriors-description-2013.pdf" TargetMode="External"/><Relationship Id="rId23" Type="http://schemas.openxmlformats.org/officeDocument/2006/relationships/hyperlink" Target="http://www.ncbi.nlm.nih.gov/pmc/articles/PMC4035886/" TargetMode="External"/><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doh.wa.gov/healthassess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oh.wa.gov/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Podszus, Rebecca  (HCA)</dc:creator>
  <dcterms:created xsi:type="dcterms:W3CDTF">2018-12-31T20:47:36Z</dcterms:created>
  <dcterms:modified xsi:type="dcterms:W3CDTF">2018-12-31T20:47:36Z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2016</vt:lpwstr>
  </property>
  <property fmtid="{D5CDD505-2E9C-101B-9397-08002B2CF9AE}" pid="4" name="LastSaved">
    <vt:filetime>2018-12-31T00:00:00Z</vt:filetime>
  </property>
</Properties>
</file>